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4C" w:rsidRPr="0086214C" w:rsidRDefault="0086214C" w:rsidP="0086214C">
      <w:pPr>
        <w:jc w:val="left"/>
        <w:rPr>
          <w:rFonts w:ascii="黑体" w:eastAsia="黑体" w:hAnsi="黑体"/>
          <w:spacing w:val="8"/>
          <w:sz w:val="32"/>
          <w:szCs w:val="32"/>
        </w:rPr>
      </w:pPr>
      <w:r w:rsidRPr="0086214C">
        <w:rPr>
          <w:rFonts w:ascii="黑体" w:eastAsia="黑体" w:hAnsi="黑体" w:hint="eastAsia"/>
          <w:spacing w:val="8"/>
          <w:sz w:val="32"/>
          <w:szCs w:val="32"/>
        </w:rPr>
        <w:t>附件1</w:t>
      </w:r>
    </w:p>
    <w:p w:rsidR="0086214C" w:rsidRPr="0086214C" w:rsidRDefault="0086214C" w:rsidP="0086214C">
      <w:pPr>
        <w:rPr>
          <w:rFonts w:eastAsia="仿宋"/>
          <w:sz w:val="32"/>
        </w:rPr>
      </w:pPr>
    </w:p>
    <w:p w:rsidR="0086214C" w:rsidRPr="0086214C" w:rsidRDefault="0086214C" w:rsidP="0086214C">
      <w:pPr>
        <w:autoSpaceDE w:val="0"/>
        <w:autoSpaceDN w:val="0"/>
        <w:jc w:val="center"/>
        <w:rPr>
          <w:rFonts w:ascii="方正小标宋简体" w:eastAsia="方正小标宋简体" w:hAnsi="华文中宋" w:cs="仿宋" w:hint="eastAsia"/>
          <w:bCs/>
          <w:kern w:val="0"/>
          <w:sz w:val="44"/>
          <w:szCs w:val="44"/>
        </w:rPr>
      </w:pPr>
      <w:r w:rsidRPr="0086214C">
        <w:rPr>
          <w:rFonts w:ascii="方正小标宋简体" w:eastAsia="方正小标宋简体" w:hAnsi="华文中宋" w:cs="仿宋" w:hint="eastAsia"/>
          <w:bCs/>
          <w:kern w:val="0"/>
          <w:sz w:val="44"/>
          <w:szCs w:val="44"/>
        </w:rPr>
        <w:t>2022年新增浙江省新型智库研究方向</w:t>
      </w:r>
    </w:p>
    <w:p w:rsidR="0086214C" w:rsidRPr="0086214C" w:rsidRDefault="0086214C" w:rsidP="0086214C">
      <w:pPr>
        <w:jc w:val="center"/>
        <w:rPr>
          <w:rFonts w:ascii="仿宋" w:eastAsia="仿宋" w:hAnsi="仿宋" w:cs="宋体"/>
          <w:sz w:val="30"/>
          <w:szCs w:val="30"/>
        </w:rPr>
      </w:pP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1.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“八八战略”和“重要窗口”研究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立足“八八战略”和“努力成为新时代全面展示中国特色社会主义制度优越性的重要窗口”的目标，聚焦习近平新时代中国特色社会主义思想在浙江萌发与实践，围绕浙江一张蓝图绘到底，以“八八战略”为引领，发挥优势、补齐短板、解决矛盾，创新体制机制，提升治理效能，打造硬核成果，形成具有中国气派和浙江辨识度的重大标志性成果，以“浙江之窗”展现“中国之治”等方面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2.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共同富裕研究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共同富裕和浙江省高质量发展建设共同富裕示范区，围绕打好服务构建新发展格局组合拳、推进经济高质量发展先行示范，实施居民收入和中等收入群体双倍增计划、推进收入分配制度改革先行示范，健全为民办实事长效机制、推进公共服务优质共享先行示范，拓宽先富带后富先富帮后富有效路径、推进城乡区域协调发展先行示范，打造新时代文化高地、推进社会主义先进文化发展先行示范，建设国家生态文明试验区、推进生态文明建设先行示范，坚持和发展新时代“枫桥经验”、推进社会治理先行示范，构建高质量发展建设共同富裕示范区保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障措施和推进机制，在高质量发展促进共同富裕方面实现理论创新、实践创新、制度创新、文化创新等重大理论和现实问题，开展前瞻性、战略性咨询研究。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3.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全面开放构建新发展格局研究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“双循环”和开放强省目标，坚持实施扩大内需战略同深化供给侧结构性改革有机结合，围绕畅通高端要素循环、实施消费新政全面促进消费、实施投资新政拓展投资空间、加快打造“一带一路”重要枢纽、发展更高层次的开放型经济、高标准建设自由贸易试验区、“四港”联动畅流通、港台交流合作，推动形成全方位全要素、高能级高效率的双循环，重塑国际合作和竞争新优势等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4.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现代化先行省研究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现代化先行省，围绕经济高质量发展高地、三大科创高地、改革开放新高地、新时代文化高地、美丽中国先行示范区、省域现代治理先行示范区、人民幸福美好家园建设，就数字赋能、产业体系、科技创新、农业农村、对外开放、省域治理、文化建设、生态文明、公共服务、人的现代化等“十个先行”领域，加快推进新型城镇化建设等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5.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人才发展战略研究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人才强省首位战略，以打造人才引领优势、建立以人才为核心的创新创业生态系统为目标，围绕以全球视野集聚高素质人才队伍，以前列意识创新高水平人才制度，以超常举措建设高能级人才平台，以用户思维提供高品质人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才服务，以系统思维推进高效能人才治理，提升人才集聚力、平台吸附力、创新驱动力、生态影响力、制度竞争力等方面，开展前瞻性、战略性咨询研究。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6.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创新发展研究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创新发展，围绕建立健全创新驱动体制机制、增强企业创新动力、提高创新体系整体效能、实现创新驱动发展、做强科技人才队伍、培养创新领军人才和高技能人才、壮大创新型企业家群体、优化创新激励环境，促进科技创新、制度创新、管理创新、商业模式创新、业态创新和文化创新等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7.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海洋发展战略研究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海洋强国、海洋强省战略，围绕海洋资源利用、海洋产业发展、海洋科技创新、海洋文化培育、海洋旅游资源开发，海洋资源保护、海洋综合管理，海洋权益利益维护，海洋国际合作，深化舟山群岛新区、海洋经济发展示范区建设，推进港产城融合发展，支持宁波舟山建设全球海洋中心城市，提高海洋环境防风险能力等领域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8.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文化发展战略研究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推进新时代文化浙江工程、加快推动文化大发展大繁荣，围绕全面实施文化建设“186行动”，打造思想理论高地、精神力量高地、文明和谐高地、文艺精品高地、文化创新高地，培育浙江文化新标识，形成文化发展新格局，在理论立魂、精神立德、人文立身、四治立信、精品立世、数智立新、融合立业、改革立制，以及理论创新研究、文化设施建设、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公共文化服务体系建设、文化企业创新发展、宋韵文化等浙江文化金名片打造、文化名家引育、文化体制改革、文化交流与传播等领域，开展前瞻性、战略性咨询研究。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9.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民生事业和社会建设发展研究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完善民生保障制度、促进人的全面发展和社会全面进步，围绕就业、教育、收入分配、社会保障、医疗卫生、养老、育幼、助残、住房、扶贫等民生事业发展，在以更加充分更高质量就业促增收、加快教育现代化和卫生健康现代化、健全社会保障体系、持续推动人口结构优化和素质提升、实施低收入群体同步基本实现现代化行动、加强和创新社会治理等领域，开展前瞻性、战略性咨询研究。</w:t>
      </w:r>
    </w:p>
    <w:p w:rsidR="0086214C" w:rsidRPr="0086214C" w:rsidRDefault="0086214C" w:rsidP="0086214C">
      <w:pPr>
        <w:overflowPunct w:val="0"/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10.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平安社会研究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平安浙江和平安中国示范区建设，全面落实总体国家安全观，围绕维护国家政治安全、加强经济安全风险预警、防控机制和能力建设，构建“大安全、大应急、大减灾”体系，加强和创新网络综合治理，完善重大决策社会风险评估机制、社会矛盾综合治理机制、疫情防控应急管理体系建设等领域，开展前瞻性、战略性咨询研究。</w:t>
      </w:r>
    </w:p>
    <w:p w:rsidR="0086214C" w:rsidRPr="0086214C" w:rsidRDefault="0086214C" w:rsidP="0086214C">
      <w:pPr>
        <w:overflowPunct w:val="0"/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11.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国际传播研究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把握国际传播规律，加强国际传播能力建设，围绕全球化时代国际传播渠道建设、国际传播方式创新、国家传播内容体系、国际传播人才培养、中国话语和中国叙事体系构建、提升国际传播效能等国际传播理论与实践问题，开展前瞻性、战略性咨询研究。</w:t>
      </w:r>
    </w:p>
    <w:p w:rsidR="0086214C" w:rsidRPr="0086214C" w:rsidRDefault="0086214C" w:rsidP="0086214C">
      <w:pPr>
        <w:ind w:firstLineChars="200" w:firstLine="624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12.</w:t>
      </w:r>
      <w:r w:rsidRPr="0086214C">
        <w:rPr>
          <w:rFonts w:ascii="仿宋" w:eastAsia="仿宋_GB2312" w:hAnsi="仿宋" w:cs="Tahoma" w:hint="eastAsia"/>
          <w:b/>
          <w:kern w:val="0"/>
          <w:sz w:val="32"/>
          <w:szCs w:val="32"/>
        </w:rPr>
        <w:t>党的建设研究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：聚焦新时代加强党的全面领导，围绕党的</w:t>
      </w:r>
      <w:r w:rsidRPr="0086214C"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政治建设、思想建设、组织建设、作风建设、纪律建设、制度建设，特别是提高党领导贯彻新发展理念、构建新发展格局的能力和水平，推进社会主义政治建设，法治浙江建设，廉洁文化和清廉浙江建设，推进党史学习教育常态化长效化，打造浙江干部铁军、守好浙江红色根脉等领域，开展前瞻性、战略性咨询研究。</w:t>
      </w:r>
    </w:p>
    <w:p w:rsidR="0086214C" w:rsidRPr="0086214C" w:rsidRDefault="0086214C" w:rsidP="0086214C">
      <w:pPr>
        <w:ind w:firstLineChars="200" w:firstLine="622"/>
        <w:rPr>
          <w:rFonts w:ascii="仿宋" w:eastAsia="仿宋" w:hAnsi="仿宋" w:cs="Tahoma"/>
          <w:kern w:val="0"/>
          <w:sz w:val="32"/>
          <w:szCs w:val="32"/>
        </w:rPr>
      </w:pPr>
    </w:p>
    <w:p w:rsidR="0086214C" w:rsidRPr="0086214C" w:rsidRDefault="0086214C" w:rsidP="0086214C">
      <w:pPr>
        <w:ind w:firstLineChars="200" w:firstLine="622"/>
        <w:rPr>
          <w:rFonts w:ascii="仿宋" w:eastAsia="仿宋" w:hAnsi="仿宋" w:cs="Tahoma" w:hint="eastAsia"/>
          <w:kern w:val="0"/>
          <w:sz w:val="32"/>
          <w:szCs w:val="32"/>
        </w:rPr>
      </w:pPr>
      <w:r w:rsidRPr="0086214C">
        <w:rPr>
          <w:rFonts w:ascii="仿宋" w:eastAsia="仿宋" w:hAnsi="仿宋" w:cs="Tahoma" w:hint="eastAsia"/>
          <w:kern w:val="0"/>
          <w:sz w:val="32"/>
          <w:szCs w:val="32"/>
        </w:rPr>
        <w:t>（研究方向供参考，申报智库原则上应与其中重点研究领域相吻合。但无论是新智库还是原智库，相同或相近研究领域的智库只立一个，避免重复建设和无序发展。）</w:t>
      </w:r>
    </w:p>
    <w:p w:rsidR="00E2298D" w:rsidRPr="0086214C" w:rsidRDefault="00E2298D" w:rsidP="0086214C">
      <w:pPr>
        <w:rPr>
          <w:szCs w:val="28"/>
        </w:rPr>
      </w:pPr>
    </w:p>
    <w:sectPr w:rsidR="00E2298D" w:rsidRPr="0086214C" w:rsidSect="00B4692B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790" w:rsidRDefault="009B7790" w:rsidP="00042B94">
      <w:r>
        <w:separator/>
      </w:r>
    </w:p>
  </w:endnote>
  <w:endnote w:type="continuationSeparator" w:id="1">
    <w:p w:rsidR="009B7790" w:rsidRDefault="009B7790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C74B6" w:rsidRDefault="00AC74B6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D247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D2478" w:rsidRPr="00AC74B6">
      <w:rPr>
        <w:rFonts w:ascii="宋体" w:hAnsi="宋体"/>
        <w:sz w:val="28"/>
        <w:szCs w:val="28"/>
      </w:rPr>
      <w:fldChar w:fldCharType="separate"/>
    </w:r>
    <w:r w:rsidR="0086214C" w:rsidRPr="0086214C">
      <w:rPr>
        <w:rFonts w:ascii="宋体" w:hAnsi="宋体"/>
        <w:noProof/>
        <w:sz w:val="28"/>
        <w:szCs w:val="28"/>
        <w:lang w:val="zh-CN"/>
      </w:rPr>
      <w:t>2</w:t>
    </w:r>
    <w:r w:rsidR="00DD247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38" w:rsidRPr="00AC74B6" w:rsidRDefault="00AC74B6" w:rsidP="00AC74B6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DD2478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DD2478" w:rsidRPr="00AC74B6">
      <w:rPr>
        <w:rFonts w:ascii="宋体" w:hAnsi="宋体"/>
        <w:sz w:val="28"/>
        <w:szCs w:val="28"/>
      </w:rPr>
      <w:fldChar w:fldCharType="separate"/>
    </w:r>
    <w:r w:rsidR="0086214C" w:rsidRPr="0086214C">
      <w:rPr>
        <w:rFonts w:ascii="宋体" w:hAnsi="宋体"/>
        <w:noProof/>
        <w:sz w:val="28"/>
        <w:szCs w:val="28"/>
        <w:lang w:val="zh-CN"/>
      </w:rPr>
      <w:t>1</w:t>
    </w:r>
    <w:r w:rsidR="00DD2478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790" w:rsidRDefault="009B7790" w:rsidP="00042B94">
      <w:r>
        <w:separator/>
      </w:r>
    </w:p>
  </w:footnote>
  <w:footnote w:type="continuationSeparator" w:id="1">
    <w:p w:rsidR="009B7790" w:rsidRDefault="009B7790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bordersDoNotSurroundHeader/>
  <w:bordersDoNotSurroundFooter/>
  <w:attachedTemplate r:id="rId1"/>
  <w:stylePaneFormatFilter w:val="3F01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790"/>
    <w:rsid w:val="00042B94"/>
    <w:rsid w:val="00097C4A"/>
    <w:rsid w:val="000A1D8A"/>
    <w:rsid w:val="000A417F"/>
    <w:rsid w:val="000B02DF"/>
    <w:rsid w:val="000E3852"/>
    <w:rsid w:val="00140E5C"/>
    <w:rsid w:val="00150BB2"/>
    <w:rsid w:val="00162EB1"/>
    <w:rsid w:val="001702DF"/>
    <w:rsid w:val="001B635A"/>
    <w:rsid w:val="001B6901"/>
    <w:rsid w:val="001B7A79"/>
    <w:rsid w:val="001C1DDF"/>
    <w:rsid w:val="001C33AF"/>
    <w:rsid w:val="001D4DD7"/>
    <w:rsid w:val="001D5D29"/>
    <w:rsid w:val="001E5967"/>
    <w:rsid w:val="002D2994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908C0"/>
    <w:rsid w:val="00394C03"/>
    <w:rsid w:val="003A631B"/>
    <w:rsid w:val="003C541E"/>
    <w:rsid w:val="003C7590"/>
    <w:rsid w:val="003D1E2D"/>
    <w:rsid w:val="003E4BB6"/>
    <w:rsid w:val="003F77D7"/>
    <w:rsid w:val="00412A9A"/>
    <w:rsid w:val="005173AD"/>
    <w:rsid w:val="00532665"/>
    <w:rsid w:val="00570A98"/>
    <w:rsid w:val="00594A16"/>
    <w:rsid w:val="005A2ADA"/>
    <w:rsid w:val="005E6231"/>
    <w:rsid w:val="00602945"/>
    <w:rsid w:val="0061320F"/>
    <w:rsid w:val="00615661"/>
    <w:rsid w:val="006A4D93"/>
    <w:rsid w:val="006C4A94"/>
    <w:rsid w:val="006D7ED9"/>
    <w:rsid w:val="006E3FED"/>
    <w:rsid w:val="006E7503"/>
    <w:rsid w:val="006E7EC7"/>
    <w:rsid w:val="00721C69"/>
    <w:rsid w:val="0077033A"/>
    <w:rsid w:val="00784494"/>
    <w:rsid w:val="007A3036"/>
    <w:rsid w:val="007C2DFF"/>
    <w:rsid w:val="007E1486"/>
    <w:rsid w:val="007E71E7"/>
    <w:rsid w:val="007F3BFB"/>
    <w:rsid w:val="008006D2"/>
    <w:rsid w:val="00817DC2"/>
    <w:rsid w:val="008378C0"/>
    <w:rsid w:val="0086214C"/>
    <w:rsid w:val="008A713F"/>
    <w:rsid w:val="00932667"/>
    <w:rsid w:val="00984FC0"/>
    <w:rsid w:val="009858AF"/>
    <w:rsid w:val="009A093F"/>
    <w:rsid w:val="009A18CC"/>
    <w:rsid w:val="009A1EB6"/>
    <w:rsid w:val="009B7790"/>
    <w:rsid w:val="009D1473"/>
    <w:rsid w:val="00A155C6"/>
    <w:rsid w:val="00AC74B6"/>
    <w:rsid w:val="00AD687A"/>
    <w:rsid w:val="00AF7BEE"/>
    <w:rsid w:val="00B302BD"/>
    <w:rsid w:val="00B4692B"/>
    <w:rsid w:val="00B62FCC"/>
    <w:rsid w:val="00B650CF"/>
    <w:rsid w:val="00B87CCC"/>
    <w:rsid w:val="00BC7FC2"/>
    <w:rsid w:val="00C41FF1"/>
    <w:rsid w:val="00C47A9F"/>
    <w:rsid w:val="00C57F9F"/>
    <w:rsid w:val="00CC7E46"/>
    <w:rsid w:val="00CF0EC8"/>
    <w:rsid w:val="00D2389D"/>
    <w:rsid w:val="00D40611"/>
    <w:rsid w:val="00D536A7"/>
    <w:rsid w:val="00D8594E"/>
    <w:rsid w:val="00D85E88"/>
    <w:rsid w:val="00D86CCC"/>
    <w:rsid w:val="00D870AA"/>
    <w:rsid w:val="00DD2478"/>
    <w:rsid w:val="00E07FB2"/>
    <w:rsid w:val="00E2298D"/>
    <w:rsid w:val="00E67393"/>
    <w:rsid w:val="00E843B0"/>
    <w:rsid w:val="00EA5BFC"/>
    <w:rsid w:val="00EB1FE0"/>
    <w:rsid w:val="00EC3DC3"/>
    <w:rsid w:val="00F2574D"/>
    <w:rsid w:val="00F260C4"/>
    <w:rsid w:val="00F36E06"/>
    <w:rsid w:val="00F47A69"/>
    <w:rsid w:val="00F517A6"/>
    <w:rsid w:val="00F95A1D"/>
    <w:rsid w:val="00FB00D0"/>
    <w:rsid w:val="00FC0CE3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9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 w:val="32"/>
      <w:szCs w:val="44"/>
    </w:rPr>
  </w:style>
  <w:style w:type="character" w:styleId="a8">
    <w:name w:val="Hyperlink"/>
    <w:uiPriority w:val="99"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rsid w:val="00E2298D"/>
    <w:pPr>
      <w:ind w:leftChars="2500" w:left="100"/>
    </w:pPr>
  </w:style>
  <w:style w:type="character" w:customStyle="1" w:styleId="Char2">
    <w:name w:val="日期 Char"/>
    <w:link w:val="a9"/>
    <w:rsid w:val="00E2298D"/>
    <w:rPr>
      <w:kern w:val="2"/>
      <w:sz w:val="21"/>
      <w:szCs w:val="24"/>
    </w:rPr>
  </w:style>
  <w:style w:type="table" w:styleId="aa">
    <w:name w:val="Table Grid"/>
    <w:basedOn w:val="a1"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1038;&#3118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A2D1-9ACA-48A0-828B-8D038F9F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</Template>
  <TotalTime>1</TotalTime>
  <Pages>5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lenovo</dc:creator>
  <cp:lastModifiedBy>lenovo</cp:lastModifiedBy>
  <cp:revision>1</cp:revision>
  <cp:lastPrinted>2020-11-19T07:46:00Z</cp:lastPrinted>
  <dcterms:created xsi:type="dcterms:W3CDTF">2022-06-07T00:51:00Z</dcterms:created>
  <dcterms:modified xsi:type="dcterms:W3CDTF">2022-06-07T00:52:00Z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