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_GB2312" w:cs="Times New Roman"/>
          <w:b/>
          <w:bCs/>
          <w:sz w:val="32"/>
          <w:szCs w:val="32"/>
          <w:lang w:val="en-US" w:eastAsia="zh-CN"/>
        </w:rPr>
      </w:pPr>
      <w:r>
        <w:rPr>
          <w:rFonts w:ascii="Times New Roman" w:hAnsi="Times New Roman" w:eastAsia="仿宋_GB2312" w:cs="Times New Roman"/>
          <w:b/>
          <w:bCs/>
          <w:sz w:val="32"/>
          <w:szCs w:val="32"/>
        </w:rPr>
        <w:t>附件</w:t>
      </w:r>
      <w:r>
        <w:rPr>
          <w:rFonts w:hint="eastAsia" w:ascii="Times New Roman" w:hAnsi="Times New Roman" w:eastAsia="仿宋_GB2312" w:cs="Times New Roman"/>
          <w:b/>
          <w:bCs/>
          <w:sz w:val="32"/>
          <w:szCs w:val="32"/>
          <w:lang w:val="en-US" w:eastAsia="zh-CN"/>
        </w:rPr>
        <w:t>7</w:t>
      </w:r>
      <w:bookmarkStart w:id="1" w:name="_GoBack"/>
      <w:bookmarkEnd w:id="1"/>
    </w:p>
    <w:p>
      <w:pPr>
        <w:spacing w:line="600" w:lineRule="exact"/>
        <w:jc w:val="center"/>
        <w:rPr>
          <w:rFonts w:hint="default" w:ascii="Times New Roman" w:hAnsi="Times New Roman" w:eastAsia="华文中宋" w:cs="Times New Roman"/>
          <w:b/>
          <w:bCs/>
          <w:color w:val="auto"/>
          <w:sz w:val="44"/>
          <w:szCs w:val="44"/>
        </w:rPr>
      </w:pPr>
    </w:p>
    <w:p>
      <w:pPr>
        <w:spacing w:line="600" w:lineRule="exact"/>
        <w:jc w:val="center"/>
        <w:rPr>
          <w:rFonts w:hint="default" w:ascii="Times New Roman" w:hAnsi="Times New Roman" w:eastAsia="华文中宋" w:cs="Times New Roman"/>
          <w:b/>
          <w:bCs/>
          <w:color w:val="auto"/>
          <w:sz w:val="44"/>
          <w:szCs w:val="44"/>
          <w:lang w:eastAsia="zh-CN"/>
        </w:rPr>
      </w:pPr>
      <w:r>
        <w:rPr>
          <w:rFonts w:hint="default" w:ascii="Times New Roman" w:hAnsi="Times New Roman" w:eastAsia="华文中宋" w:cs="Times New Roman"/>
          <w:b/>
          <w:bCs/>
          <w:color w:val="auto"/>
          <w:sz w:val="44"/>
          <w:szCs w:val="44"/>
          <w:lang w:eastAsia="zh-CN"/>
        </w:rPr>
        <w:t>浙江文化艺术</w:t>
      </w:r>
      <w:r>
        <w:rPr>
          <w:rFonts w:hint="default" w:ascii="Times New Roman" w:hAnsi="Times New Roman" w:eastAsia="华文中宋" w:cs="Times New Roman"/>
          <w:b/>
          <w:bCs/>
          <w:color w:val="auto"/>
          <w:sz w:val="44"/>
          <w:szCs w:val="44"/>
          <w:lang w:val="en-US" w:eastAsia="zh-CN"/>
        </w:rPr>
        <w:t>发展</w:t>
      </w:r>
      <w:r>
        <w:rPr>
          <w:rFonts w:hint="default" w:ascii="Times New Roman" w:hAnsi="Times New Roman" w:eastAsia="华文中宋" w:cs="Times New Roman"/>
          <w:b/>
          <w:bCs/>
          <w:color w:val="auto"/>
          <w:sz w:val="44"/>
          <w:szCs w:val="44"/>
          <w:lang w:eastAsia="zh-CN"/>
        </w:rPr>
        <w:t>基金</w:t>
      </w:r>
    </w:p>
    <w:p>
      <w:pPr>
        <w:spacing w:line="600" w:lineRule="exact"/>
        <w:jc w:val="center"/>
        <w:rPr>
          <w:rFonts w:hint="default" w:ascii="Times New Roman" w:hAnsi="Times New Roman" w:eastAsia="华文中宋" w:cs="Times New Roman"/>
          <w:b/>
          <w:bCs/>
          <w:color w:val="auto"/>
          <w:sz w:val="44"/>
          <w:szCs w:val="44"/>
          <w:lang w:val="en-US" w:eastAsia="zh-CN"/>
        </w:rPr>
      </w:pPr>
      <w:r>
        <w:rPr>
          <w:rFonts w:hint="default" w:ascii="Times New Roman" w:hAnsi="Times New Roman" w:eastAsia="华文中宋" w:cs="Times New Roman"/>
          <w:b/>
          <w:bCs/>
          <w:color w:val="auto"/>
          <w:sz w:val="44"/>
          <w:szCs w:val="44"/>
          <w:lang w:val="en-US" w:eastAsia="zh-CN"/>
        </w:rPr>
        <w:t>内容</w:t>
      </w:r>
      <w:r>
        <w:rPr>
          <w:rFonts w:hint="default" w:ascii="Times New Roman" w:hAnsi="Times New Roman" w:eastAsia="华文中宋" w:cs="Times New Roman"/>
          <w:b/>
          <w:bCs/>
          <w:color w:val="auto"/>
          <w:sz w:val="44"/>
          <w:szCs w:val="44"/>
        </w:rPr>
        <w:t>选题</w:t>
      </w:r>
      <w:r>
        <w:rPr>
          <w:rFonts w:hint="default" w:ascii="Times New Roman" w:hAnsi="Times New Roman" w:eastAsia="华文中宋" w:cs="Times New Roman"/>
          <w:b/>
          <w:bCs/>
          <w:color w:val="auto"/>
          <w:sz w:val="44"/>
          <w:szCs w:val="44"/>
          <w:lang w:val="en-US" w:eastAsia="zh-CN"/>
        </w:rPr>
        <w:t>参考</w:t>
      </w:r>
    </w:p>
    <w:p>
      <w:pPr>
        <w:spacing w:line="600" w:lineRule="exact"/>
        <w:rPr>
          <w:rFonts w:hint="default" w:ascii="Times New Roman" w:hAnsi="Times New Roman" w:eastAsia="仿宋_GB2312" w:cs="Times New Roman"/>
          <w:b/>
          <w:bCs/>
          <w:color w:val="auto"/>
          <w:sz w:val="32"/>
          <w:szCs w:val="32"/>
        </w:rPr>
      </w:pP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浙江文化艺术发展基金</w:t>
      </w:r>
      <w:r>
        <w:rPr>
          <w:rFonts w:hint="default" w:ascii="Times New Roman" w:hAnsi="Times New Roman" w:eastAsia="仿宋_GB2312" w:cs="Times New Roman"/>
          <w:b/>
          <w:bCs/>
          <w:color w:val="auto"/>
          <w:sz w:val="32"/>
          <w:szCs w:val="32"/>
          <w:lang w:val="en-US" w:eastAsia="zh-CN"/>
        </w:rPr>
        <w:t>优先</w:t>
      </w:r>
      <w:r>
        <w:rPr>
          <w:rFonts w:hint="default" w:ascii="Times New Roman" w:hAnsi="Times New Roman" w:eastAsia="仿宋_GB2312" w:cs="Times New Roman"/>
          <w:b/>
          <w:bCs/>
          <w:color w:val="auto"/>
          <w:sz w:val="32"/>
          <w:szCs w:val="32"/>
        </w:rPr>
        <w:t>资助以下八个方面具有重要</w:t>
      </w:r>
      <w:r>
        <w:rPr>
          <w:rFonts w:hint="default" w:ascii="Times New Roman" w:hAnsi="Times New Roman" w:eastAsia="仿宋_GB2312" w:cs="Times New Roman"/>
          <w:b/>
          <w:bCs/>
          <w:color w:val="auto"/>
          <w:sz w:val="32"/>
          <w:szCs w:val="32"/>
          <w:lang w:val="en-US" w:eastAsia="zh-CN"/>
        </w:rPr>
        <w:t>选题</w:t>
      </w:r>
      <w:r>
        <w:rPr>
          <w:rFonts w:hint="default" w:ascii="Times New Roman" w:hAnsi="Times New Roman" w:eastAsia="仿宋_GB2312" w:cs="Times New Roman"/>
          <w:b/>
          <w:bCs/>
          <w:color w:val="auto"/>
          <w:sz w:val="32"/>
          <w:szCs w:val="32"/>
        </w:rPr>
        <w:t>价值和意义的优秀文化艺术项目。</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一、聚焦现实题材创作，坚持以人民为中心的创作导向，围绕中国梦主题，弘扬社会主义核心价值观，反映时代新气象、讴歌人民新创造，生动展现在建设中国特色社会主义伟大事业，实现“两个一百年”奋斗目标历史进程中出现的重大事件、杰出人物和优秀共产党人以及反映社会发展新趋势新变革、人民群众新期待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1.自立自强造就航天奇迹</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1970年我国第一颗人造地球卫星东方红一号发射升空，拉开了中华民族探索宇宙奥秘、和平利用太空、造福人类的序幕。50年后，嫦娥五号首次实现我国地外天体采样返回，标志着中国航天向前迈出了新的一大步。50年来，我国走出了一条具有中国特色的自主创新之路，探索形成了新型举国体制优势。当世人屡屡追问“中国航天为什么能”，答案不仅体现在各参研参试单位和全体航天工作者的团结拼搏执着创新中，也体现在那无数双向往星辰大海的专注眼神中。</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2.海军“和平方舟”号医院船</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海军“和平方舟”医院船是我国自行设计建造的第一艘制式远洋医院船，专门为海上医疗救护而量身定做。2008年12月入列，舷号866，船长178米、宽24米、高35.5米，排水量14300吨。入列11年，和平方舟号9次走出国门，累计航行24万余海里，到访43个国家和地区，医疗服务国内外民众23万余人次，先后完成“医疗服务万里海疆行”、7次“和谐使命”医疗服务、赴菲律宾人道主义救援等20多项重大任务，荣立集体一等功1次、集体二等功2次、集体三等功1次，成为名副其实的生命之舟、和平之舟、友谊之舟、文化之舟。</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3.屠呦呦：首位获诺贝尔医学奖的中国人、共和国勋章获得者</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屠呦呦（1930-），女，汉族，中共党员，浙江宁波人，中国中医科学院中药研究所青蒿素研究中心主任。60多年来致力于中医药研究实践，带领团队攻坚克难，研究发现青蒿素，解决了抗疟治疗失效难题，为中医药科技创新和人类健康事业作出巨大贡献。2015年获诺贝尔生理学或医学奖，2019年被授予“共和国勋章”，荣获国家最高科学技术奖、“改革先锋”等称号。</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楷体_GB2312" w:cs="Times New Roman"/>
          <w:b/>
          <w:bCs/>
          <w:color w:val="auto"/>
          <w:sz w:val="32"/>
          <w:szCs w:val="32"/>
        </w:rPr>
        <w:t>钟南山：公共卫生事件应急体系建设的重要推动者、共和国勋章获得者</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钟南山（1936-），男，汉族，福建厦门人，广州医科大学附属第一医院国家呼吸系统疾病临床医学研究中心原主任，中国工程院院士。长期致力于重大呼吸道传染病及慢性呼吸系统疾病的研究、预防与治疗，成果丰硕，实绩突出。新冠肺炎疫情发生后，敢医敢言，提出存在“人传人”现象，强调严格防控，领导撰写诊疗方案，在疫情防控、重症救治、科研攻关等方面作出贡献。2020年被授予共和国勋章，荣获国家科学技术进步奖一等奖、“全国先进工作者”“改革先锋”称号。</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eastAsia="楷体_GB2312" w:cs="Times New Roman"/>
          <w:b/>
          <w:bCs/>
          <w:color w:val="auto"/>
          <w:sz w:val="32"/>
          <w:szCs w:val="32"/>
        </w:rPr>
        <w:t>樊锦诗：文物保护杰出贡献者、“改革先锋”荣誉称号获得者</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樊锦诗（1938-），女，汉族，浙江杭州人，敦煌研究院名誉院长。她视敦煌石窟的安危如生命，扎根大漠，潜心石窟考古研究，完成了敦煌莫高窟北朝、隋、唐代前期和中期洞窟的分期断代。她坚持改革创新，带领团队致力世界文化遗产保护传承，积极开展文物国际交流合作，引进先进保护理念和保护技术，构建“数字敦煌”，开创了敦煌莫高窟开放管理新模式，有效地缓解了文物保护与旅游开放的矛盾。在全国率先开展文物保护专项法规和保护规划建设，为世界文化遗产敦煌莫高窟文物和大遗址保护传承与利用作出突出贡献。2018年被授予“改革先锋”称号，获评文物保护杰出贡献者，荣获“最美奋斗者”“全国先进工作者”“全国优秀共产党员”等称号。</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二、弘扬爱国主义精神，进一步激发全党全国各族人民的昂扬斗志，艺术再现中国共产党史、革命战争史、新中国史、改革开放史、社会主义发展史，生动反映中国人民从历史谷底中奋起、在历史潮流中奋进的伟大实践，生动展现民族命运的沧桑巨变，大力讴歌党、讴歌祖国、讴歌人民、讴歌英雄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中国工人革命运动</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1921年，中国共产党成立后，就承担起了工人运动领导者和工人阶级先锋队的责任。1921年8月11日，中国劳动组合书记部在上海成立。党成立后不到半年时间，领导了全国第一次工人运动高潮，极大地扩大了中国共产党和工人阶级的政治影响。1925年5月，在党领导下第二次全国劳动大会召开，宣布成立中华全国总工会，标志着中国工人运动和工会组织在政治与组织上的统一。1927年大革命失败后，党不断加强和改进对工人运动的领导。1939年4月，中共中央成立职工运动委员会，1948年8月，第六次全国劳动大会恢复中华全国总工会。1949年3月，党的七届二中全会明确提出全心全意依靠工人阶级方针。1949年7月，全国工会工作会议召开，规定了全国各级工会的组织系统和制度规章，提出把全国工人阶级首先是产业工人组织起来的任务。</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楷体_GB2312" w:cs="Times New Roman"/>
          <w:b/>
          <w:bCs/>
          <w:color w:val="auto"/>
          <w:sz w:val="32"/>
          <w:szCs w:val="32"/>
        </w:rPr>
        <w:t>中国气象科技发展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作为气象灾害频发的国家，中国高度重视气象卫星的研发和利用。1972 年，研制气象卫星纳入国家计划。截至目前，中国共有8颗风云气象卫星在轨运行，已经成为世界上少数几个同时拥有极轨和静止轨道气象卫星的国家之一。气象科技题材涵盖人造卫星技术、深空探测技术、数值预报、气象遥感和防灾减灾等多个科技领域的发展。气象事业的英雄人物有中国近代地理学和气象学的奠基者竺可桢，“两弹一星”元勋，风云二号气象卫星工程的总设计师、原北斗一号、北斗二号系统工程总设计师、北斗卫星导航系统高级顾问孙家栋院士，2019年度国家最高科学技术奖获得者、中国科学院大气物理研究所研究员曾庆存院士等。</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楷体_GB2312" w:cs="Times New Roman"/>
          <w:b/>
          <w:bCs/>
          <w:color w:val="auto"/>
          <w:sz w:val="32"/>
          <w:szCs w:val="32"/>
        </w:rPr>
        <w:t>中国核电技术发展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改革开放初期，我国做出了自主设计、建造秦山30万千瓦压水堆核电站和引进建设大亚湾100万千瓦压水堆核电站的战略决策。目前，我国大陆已有秦山核电厂、大亚湾核电厂、秦山第二核电厂、岭澳核电厂、秦山第三核电厂、田湾核电厂、红沿河核电厂、宁德核电厂、福清核电厂、阳江核电厂、方家山核电厂、三门核电厂、海阳核电厂、台山核电厂、昌江核电厂、防城港核电厂等16座核电站，并完成5台国际三代核电机组的建设，数量居全球第一。</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楷体_GB2312" w:cs="Times New Roman"/>
          <w:b/>
          <w:bCs/>
          <w:color w:val="auto"/>
          <w:sz w:val="32"/>
          <w:szCs w:val="32"/>
        </w:rPr>
        <w:t>京杭大运河历久弥新</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京杭大运河始建于春秋时期，是世界上里程最长、工程最大的古代运河，是中国古代劳动人民创造的一项伟大工程、中国文化地位的象征之一。大运河南起余杭（今杭州），北到涿郡（今北京），途经今浙江、江苏、山东、河北四省及天津、北京两市，贯通海河、黄河、淮河、长江、钱塘江五大水系，全长约1794公里。京杭大运河在东南地区形成贯通“一带一路”、连接长江经济带和环渤海经济圈的战略格局。随着水运复兴，京杭运河的交通优势凸显，京杭运河文化带、经济带将有效带动沿河城镇旅游、文化、创意、商贸、休闲等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eastAsia="楷体_GB2312" w:cs="Times New Roman"/>
          <w:b/>
          <w:bCs/>
          <w:color w:val="auto"/>
          <w:sz w:val="32"/>
          <w:szCs w:val="32"/>
        </w:rPr>
        <w:t>中国港口经济发展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是航运大国，航运业是国民经济、对外贸易、社会发展的重要支撑。随着改革开放的深入，中国港口发展多项指标走在世界前列，港口年吞吐量世界领先。港口业的发展对整个国民经济的发展都将起到重要的作用，为经济发展注入强大动能。如今，中国港口已与世界200多个国家和地区、600多个主要港口建立了航线联系，成为经济往来的重要纽带，并在“一带一路”建设中扮演着重要角色。上海港已连续保持世界港口集装箱吞吐量第一；宁波舟山港是全球首个货物吞吐量超“10亿吨”的大港；香港港是全球最繁忙的国际集装箱港口之一，也是全球供应链上的主要枢纽港。</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三、围绕中心、服务大局，紧扣迎接中国共产党成立100周年、党的二十大召开、举办第24届北京冬奥会和第19届杭州亚运会等国际体育盛事、2023年“八八战略”实施20周年、习近平总书记提出“一带一路”倡议10周年等重大时间节点，围绕全面打赢新冠肺炎疫情防控人民战争、总体战、阻击战，体现中华民族众志成城、坚韧顽强的民族精神而策划创作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1.中国抗疫行动的人民力量</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抗疫行动彰显了中国共产党集中统一领导和全面领导的制度优势，在全国迅速建立起统一高效的抗疫指挥体系；彰显了人民当家做主制度体系优势，紧紧依靠人民构建起抗击疫情人民战争的全民参与严密防控体系；彰显了坚持全国一盘棋、调动各方面积极性、集中力量办大事的制度优势，举全国之力抗击疫情，全力救治患者、拯救生命。14亿中国人民都是抗击新冠肺炎疫情的伟大战士，所有人不分男女老幼、不论岗位分工，牢牢守住城乡社区基础防线，将一个个社区、村庄打造成为严密安全的“抗疫堡垒”，把防控疫情有效落实到终端和末梢，实现从“国门”到“家门”的全链条、闭环式管理，凝聚起抗击疫情的磅礴力量。</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楷体_GB2312" w:cs="Times New Roman"/>
          <w:b/>
          <w:bCs/>
          <w:color w:val="auto"/>
          <w:sz w:val="32"/>
          <w:szCs w:val="32"/>
        </w:rPr>
        <w:t>神舟飞船二十载</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1999年，神舟一号飞船发射，我国载人航天事业开启。作为我国载人航天器研制设计工作的主力军，神舟团队书写了一项又一项骄人成绩：将6艘载人飞船、5艘无人飞船和2个空间实验室顺利送入太空；护航11名中国航天员、14人次完成太空之旅，最长在轨时间达30天；实现太空出舱、交会对接、太空授课等。这支优秀的团队，平均年龄仅有33岁，他们将自己的热血青春与祖国发展同频共振，时刻以冲锋的姿态，托举起中华民族的载人航天梦。</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楷体_GB2312" w:cs="Times New Roman"/>
          <w:b/>
          <w:bCs/>
          <w:color w:val="auto"/>
          <w:sz w:val="32"/>
          <w:szCs w:val="32"/>
        </w:rPr>
        <w:t>国产大飞机制造</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C919大飞机2006年立项，2008年商飞成立，2019年12月27日C919六架试飞机全部首飞成功，项目正式进入“6机4地”大强度试飞阶段。在经济方面，C919能使中国民航不再依赖于从欧美进口波音和空客的中层干线客机，打破欧美航空巨头垄断，为国家节省大量外汇。在社会效益方面，C919项目能带动上下游产业发展，增加大量高收入的就业岗位，拉动地方经济发展。在技术方面，C919能锻炼中国航空工业在干线客机方面的设计和制造能力，培养一批航空人才，提升中国民用航空工业水平。</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楷体_GB2312" w:cs="Times New Roman"/>
          <w:b/>
          <w:bCs/>
          <w:color w:val="auto"/>
          <w:sz w:val="32"/>
          <w:szCs w:val="32"/>
        </w:rPr>
        <w:t>长江经济带发展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长江经济带覆盖上海、江苏、浙江、安徽、江西、湖北、湖南、重庆、四川、云南、贵州等11省市，面积约205万平方公里，占全国的21%，人口和经济总量均超过全国的40%，生态地位重要、综合实力较强、发展潜力巨大。长江经济带发展以生态优先、绿色发展为战略定位，要求共抓大保护，不搞大开发。长江是中华民族的母亲河、生命河，具有强大的涵养水源、繁育生物、释氧固碳、净化环境功能，是我国重要的生物基因宝库和生态安全屏障。在长江经济带发展中，必须把长江生态环境保护放在首要位置，让母亲河永葆生机活力。</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四、反映浙江当好“红色根脉”传承人和守护者，围绕梳理党的诞生地及早期浙江党组织的革命活动，深入挖掘中国共产党与浙江的历史渊源及全省其他红色文化资源，生动书写优秀浙江儿女为党和人民的事业英勇奋斗的壮丽篇章。讲述习近平新时代中国特色社会主义思想在浙江萌发与实践的故事，充分展现“八八战略”给浙江带来全方位、深层次、历史性重大变化，创造历史性巨大成就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陈望道翻译《共产党宣言》中文全译本</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陈望道（1891-1977），浙江义乌人。1920年3月，陈望道携带《共产党宣言》英译本和日译本秘密回到了家乡义乌分水塘村，仔细研究翻译《共产党宣言》。回到家乡后陈望道选择了家里大门西侧僻静的柴房作为工作室，在极其艰难困苦的条件下，夜以继日，废寝忘食，终于在1920年4月下旬完成了《共产党宣言》的全文翻译工作。《共产党宣言》全文译稿完成后，陈望道应邀来到上海《星期评论》编辑部担任编辑。1920年的8月，经多方努力，《共产党宣言》中文全译本出版。这是国内第一个公开正式出版的《共产党宣言》全译本。</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沈雁冰与革命文学事业</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沈雁冰（1896—1981） 笔名茅盾，浙江桐乡人。早年参加五四运动。1920年同郑振铎、叶圣陶等一起组织“文学研究会”。1921年在上海先后参加共产主义小组和中国共产党。1926年，以左派国民党党员的身份参加国民党第二次代表大会，主编《民国日报》。1930年同鲁迅一起参加组织了中国左翼作家联盟。抗日战争爆发后，在周恩来的领导下，广泛团结国民党统治区的进步文化人士从事抗战救亡工作，主编《文艺阵地》杂志。曾到过延安，在鲁迅艺术学院讲过学。1949年在第一届全国文学艺术工作者代表大会上，当选为中国文学艺术界联合会副主席、中华全国文学工作者协会主席。中华人民共和国成立后，任文化部部长，《人民文学》主编。1981年将稿费25万元人民币捐出设立茅盾文学奖，以鼓励当代优秀长篇小说的创作。</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bCs/>
          <w:color w:val="auto"/>
          <w:sz w:val="32"/>
          <w:szCs w:val="32"/>
        </w:rPr>
        <w:t>3.红船精神</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2005年6月21日，习近平同志在《光明日报》上发表署名文章《弘扬“红船精神” 走在时代前列》，提出“红船精神”是中国革命精神之源，将“红船精神”的内涵高度提炼为：开天辟地、敢为人先的首创精神，坚定理想、百折不挠的奋斗精神，立党为公、忠诚为民的奉献精神。</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楷体_GB2312" w:cs="Times New Roman"/>
          <w:b/>
          <w:bCs/>
          <w:color w:val="auto"/>
          <w:sz w:val="32"/>
          <w:szCs w:val="32"/>
        </w:rPr>
        <w:t>大陈岛垦荒精神</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上世纪50年底中后期，先后5批来自温台地区的467名青年垦荒队员，响应团中央“建设伟大祖国的大陈岛”的号召，毅然登上满目疮痍的大陈岛，以满腔热情、冲天干劲和炽热青春，与驻岛部队一起开展战天斗海的垦荒事业，用青春和汗水培育了“艰苦创业、奋发图强、无私奉献、开拓创新”的大陈岛垦荒精神。2006年8月，习近平同志到大陈岛调研，高度肯定大陈岛垦荒精神。60多年来，大陈岛垦荒精神接力传承、历久弥新，与“红船精神”一脉相承，已成为当代浙江精神的有机构成部分、社会主义建设时期传承革命文化传统的生动体现和社会主义先进文化的重要基因。</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eastAsia="楷体_GB2312" w:cs="Times New Roman"/>
          <w:b/>
          <w:bCs/>
          <w:color w:val="auto"/>
          <w:sz w:val="32"/>
          <w:szCs w:val="32"/>
        </w:rPr>
        <w:t>浙西南革命精神</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1927年1月浙西南第一个党支部在遂昌建立，在丽水大地播下了第一颗革命火种。周恩来、刘英、粟裕等老一辈革命家和无数革命先烈都曾在丽水留下了光辉战斗足迹，缔造了浙西南革命精神。浙西南革命精神是指在中国革命战争时期，在浙西南（今丽水市）及其周边毗邻地区，在中国共产党领导下的长期革命斗争实践中缔造、凝结而成的战斗精神、胜利精神，渗透在浙西南革命斗争实践的全过程。它既是中国革命精神的重要组成部分，也是中国共产党人精神气概典型表现，是浙西南革命斗争实践最宝贵的财富之一。</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五、深入聚焦进入新时代的浙江始终牢记习近平总书记的嘱托，把握新的目标定位、扛起新的使命担当，全面展示全省各地加快推动改革发展、不断推进省域治理现代化各项新的创造性实践，全面提升制度建设整体水平，努力成为新时代全面展示中国特色社会主义制度优越性重要窗口，以“浙江之窗”展现“中国之治”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浙</w:t>
      </w:r>
      <w:r>
        <w:rPr>
          <w:rFonts w:hint="default" w:ascii="Times New Roman" w:hAnsi="Times New Roman" w:eastAsia="楷体_GB2312" w:cs="Times New Roman"/>
          <w:b/>
          <w:bCs/>
          <w:color w:val="auto"/>
          <w:sz w:val="32"/>
          <w:szCs w:val="32"/>
          <w:lang w:val="en-US" w:eastAsia="zh-CN"/>
        </w:rPr>
        <w:t>商创业典型</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南宋的浙江，在人文进步方面出了一个经世致用的“浙东学派”，比较突出的是八个字：工商皆本，义利并重。</w:t>
      </w:r>
      <w:r>
        <w:rPr>
          <w:rFonts w:hint="default" w:ascii="Times New Roman" w:hAnsi="Times New Roman" w:eastAsia="仿宋_GB2312" w:cs="Times New Roman"/>
          <w:b/>
          <w:bCs/>
          <w:color w:val="auto"/>
          <w:sz w:val="32"/>
          <w:szCs w:val="32"/>
          <w:lang w:val="en-US" w:eastAsia="zh-CN"/>
        </w:rPr>
        <w:t>改革开放以来，浙江涌现出了鲁冠球、南存辉、李书福等一批民营经济的典型代表。</w:t>
      </w:r>
      <w:r>
        <w:rPr>
          <w:rFonts w:hint="default" w:ascii="Times New Roman" w:hAnsi="Times New Roman" w:eastAsia="仿宋_GB2312" w:cs="Times New Roman"/>
          <w:b/>
          <w:bCs/>
          <w:color w:val="auto"/>
          <w:sz w:val="32"/>
          <w:szCs w:val="32"/>
        </w:rPr>
        <w:t>民营经济就是老百姓经济。首先是手头有点活泛了，就会去想到投资，这是民资；然后在一个项目的基础上办起一家企业，这是民企；再然后好好生产经营，精心管理，这是民营；最后按劳分配、照章纳税、热心慈善，尽到自己的社会责任，这是民享和民富。这是一个“内源内生、共享共富”的经济形态。近年来提振民营经济的措施有针对上市公司的“凤凰行动”，针对跨国企业的“雄鹰行动”，针对小微创新企业的“雏鹰行动”。</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楷体_GB2312" w:cs="Times New Roman"/>
          <w:b/>
          <w:bCs/>
          <w:color w:val="auto"/>
          <w:sz w:val="32"/>
          <w:szCs w:val="32"/>
        </w:rPr>
        <w:t>数字经济先行发展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数字经济是浙江参与长三角一体化发展国家战略的优势所在。当前正在深入实施的数字经济“一号工程”，以“数字产业化、产业数字化”为主线，启动实施数字湾区、“无人车间”“无人工厂”、移动支付之省、eWTP电子世界贸易平台、城市大脑、5G+、未来社区、“掌上办事”“掌上办公”等标志性引领性工程，加快推进数字产业化发展引领区、产业数字化转型示范区、数字经济体制机制创新先导区和数字科技创新中心、新型贸易中心、新兴金融中心建设。</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楷体_GB2312" w:cs="Times New Roman"/>
          <w:b/>
          <w:bCs/>
          <w:color w:val="auto"/>
          <w:sz w:val="32"/>
          <w:szCs w:val="32"/>
        </w:rPr>
        <w:t>区域协调发展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从三方面分解：一是山海携手的缩影，如浙江衢州与杭州未来科技城合作建立“飞地园区”，科研人员在杭办公，生产组装基地放在衢州的形式。二是城乡融合，实现城乡公共服务均等化，群众幸福感持续增强，如海盐在基本民生服务、公共事业服务领域推进城乡均衡发展，村民享受的公共服务越来越好。三是县域经济迈向都市经济。构建都市经济交通走廊，支撑和引领浙江经济社会加快转型发展。强化杭州、宁波、温州、金义四大都市区和其他中心城市的互联互通。金义东轨道交通工程杭温高铁一期、甬台温高速复线等工程，加快融入浙江“1小时交通圈”。</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楷体_GB2312" w:cs="Times New Roman"/>
          <w:b/>
          <w:bCs/>
          <w:color w:val="auto"/>
          <w:sz w:val="32"/>
          <w:szCs w:val="32"/>
        </w:rPr>
        <w:t>政府治理领域的整体智治</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让群众少跑路，让数据多跑路。政府数字化转型为浙江统筹推进疫情防控和经济社会发展披上“铠甲”。依靠大数据，创新推出“一图一码一指数”，对疫情实时跟踪、全面溯源、科学管控，精密智控的浙江抗疫模式成为全国样板。例如：德清 “数字乡村一张图”归集137个行政村、30个社区的282类数据，能感知生产、生活、生态“三生同步”动态详情；杭州市唯一的少数民族乡桐庐莪山畲族乡，数字农业驾驶舱24小时监控稻鱼共生系统的水质、土壤、气温；衢州市衢江区开发的“云智衢江”平台汇聚该区784个网格信息及地灾隐患、应急物资、水位等社会治理信息203万余条。</w:t>
      </w:r>
    </w:p>
    <w:p>
      <w:pPr>
        <w:spacing w:line="600" w:lineRule="exact"/>
        <w:ind w:firstLine="642" w:firstLineChars="200"/>
        <w:rPr>
          <w:rFonts w:hint="default" w:ascii="Times New Roman" w:hAnsi="Times New Roman" w:eastAsia="楷体_GB2312" w:cs="Times New Roman"/>
          <w:b/>
          <w:bCs/>
          <w:color w:val="auto"/>
          <w:sz w:val="32"/>
          <w:szCs w:val="32"/>
          <w:lang w:val="en-US" w:eastAsia="zh-Hans"/>
        </w:rPr>
      </w:pPr>
      <w:r>
        <w:rPr>
          <w:rFonts w:hint="default" w:ascii="Times New Roman" w:hAnsi="Times New Roman" w:eastAsia="楷体_GB2312" w:cs="Times New Roman"/>
          <w:b/>
          <w:bCs/>
          <w:color w:val="auto"/>
          <w:sz w:val="32"/>
          <w:szCs w:val="32"/>
        </w:rPr>
        <w:t>5.</w:t>
      </w:r>
      <w:r>
        <w:rPr>
          <w:rFonts w:hint="default" w:ascii="Times New Roman" w:hAnsi="Times New Roman" w:eastAsia="楷体_GB2312" w:cs="Times New Roman"/>
          <w:b/>
          <w:bCs/>
          <w:color w:val="auto"/>
          <w:sz w:val="32"/>
          <w:szCs w:val="32"/>
          <w:lang w:val="en-US" w:eastAsia="zh-Hans"/>
        </w:rPr>
        <w:t>扩大开放、跳出浙江发展浙江</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在新冠肺炎疫情的冲击下，浙江率先控制住疫情，率先复工复产，坚定不移稳外资稳外贸，推动高水平对外开放取得了新进展，特别是浙江自贸区扩权扩区，在原有基础上新增宁波片区、杭州片区、金义片区三个片区。在未来新发展格局中构建国内大循环的战略支点、国内国际双循环的战略枢纽，</w:t>
      </w:r>
      <w:r>
        <w:rPr>
          <w:rFonts w:hint="default" w:ascii="Times New Roman" w:hAnsi="Times New Roman" w:eastAsia="仿宋_GB2312" w:cs="Times New Roman"/>
          <w:b/>
          <w:bCs/>
          <w:color w:val="auto"/>
          <w:sz w:val="32"/>
          <w:szCs w:val="32"/>
          <w:lang w:val="en-US" w:eastAsia="zh-Hans"/>
        </w:rPr>
        <w:t>重点</w:t>
      </w:r>
      <w:r>
        <w:rPr>
          <w:rFonts w:hint="default" w:ascii="Times New Roman" w:hAnsi="Times New Roman" w:eastAsia="仿宋_GB2312" w:cs="Times New Roman"/>
          <w:b/>
          <w:bCs/>
          <w:color w:val="auto"/>
          <w:sz w:val="32"/>
          <w:szCs w:val="32"/>
          <w:lang w:val="en-US" w:eastAsia="zh-CN"/>
        </w:rPr>
        <w:t>服务“一带一路”，舟山油气全产业链开放，打造全球大宗商品储运交易，海港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空港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陆港和信息港四港联动。</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六、围绕浙江加快推动</w:t>
      </w:r>
      <w:r>
        <w:rPr>
          <w:rFonts w:hint="default" w:ascii="Times New Roman" w:hAnsi="Times New Roman" w:eastAsia="黑体" w:cs="Times New Roman"/>
          <w:b/>
          <w:bCs/>
          <w:color w:val="auto"/>
          <w:sz w:val="32"/>
          <w:szCs w:val="32"/>
          <w:lang w:val="en-US" w:eastAsia="zh-CN"/>
        </w:rPr>
        <w:t>高质量发展建设</w:t>
      </w:r>
      <w:r>
        <w:rPr>
          <w:rFonts w:hint="default" w:ascii="Times New Roman" w:hAnsi="Times New Roman" w:eastAsia="黑体" w:cs="Times New Roman"/>
          <w:b/>
          <w:bCs/>
          <w:color w:val="auto"/>
          <w:sz w:val="32"/>
          <w:szCs w:val="32"/>
        </w:rPr>
        <w:t>共同富裕示范区，聚力解决发展不平衡不充分问题，展现在省域层面推动城乡融合、区域协调、优化收入分配格局、促进物质丰裕和精神富足有机统一等方面率先破题，持续深化“千村示范、万村整治”工程，打造“山海协作”升级版，着力体现全省人民追梦圆梦生动实践和广大群众获得感、幸福感、安全感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城乡融合发展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城乡融合的发力点在大力推进城镇化建设。以杭州构建城乡发展新格局为例，有以下方面：一是环境亲民，推动绿色升级。包括持续巩固环境综合整治、污水零直排区、垃圾分类和“无违建”乡镇创建成果，着力破解“脏、乱、差、堵、污”难题，构建和谐优美生态环境。二是生活便民，推动宜居升级。包括重民生、提品质，不断扩大城镇辐射力。着力解决人民群众最关心最直接最现实的利益问题，提升办学办医质量、扩大养育养老规模，不断提高公共服务均衡化、优质化水平。三是坚持以产兴镇、以镇促产、产镇互动的城镇经济发展思路。聚焦文化乐民，推动人文升级。四是依托深厚的自然资源、人文资源，坚持“两山”理念，不断增强文化自信自觉，提升发展软实力。聚焦治理安民，推动和谐升级。五是强化党建引领作用，全面联动各级力量，动员全民参与美丽城镇创建。加强智慧化管理建设，创新全面推广“乡村小脑”智慧平台。</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楷体_GB2312" w:cs="Times New Roman"/>
          <w:b/>
          <w:bCs/>
          <w:color w:val="auto"/>
          <w:sz w:val="32"/>
          <w:szCs w:val="32"/>
        </w:rPr>
        <w:t>“千万工程”改善乡村人居环境</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浙江“千村示范、万村整治”工程及浙江经验对改善农村人居环境具有典型性、示范性，2018年获联合国最高环境荣誉“地球卫士奖”。联合国这样评价“千万工程”:扎实推进美丽乡村建设效果显著,将昔日污染严重的黑臭河流改造得潺潺流水清可见底,赢得了“激励与行动”类别奖项。这一成功的生态恢复项目表明,让环境保护与经济发展同行,将产生变革性力量。在高水平推进农村人居环境提升三年行动实施后，浙江各地乡村普及绿色生产生活方式、农村“厕所革命”“垃圾革命”等具体入微的改变，以及巩固农村生活污水治理和消除劣V类水成果都是乡村振兴的现实证明。</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楷体_GB2312" w:cs="Times New Roman"/>
          <w:b/>
          <w:bCs/>
          <w:color w:val="auto"/>
          <w:sz w:val="32"/>
          <w:szCs w:val="32"/>
        </w:rPr>
        <w:t>县域医共体建设</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2019年浙江全面实施县域医共体建设，是解决基层医疗体制问题的一个重大探索和突破，是建立新型医疗卫生服务体系的“牛鼻子”。主要突破口在于扭转“头重脚轻”的资源配置，在人财物等资源配置上向基层倾斜。着力提升基层医院的诊疗质量，抓好基层医务人员学习培训，把群众急需的服务项目在乡镇卫生院尽快开展起来。加快医疗保障制度改革，特别要落实好医保与分级诊疗、价格、控费、签约服务等政策衔接，有效引导居民首选基层看病、就近看病。加快打破“信息孤岛”，推进“智慧医疗”建设。为乡村振兴提供健康支撑。大力开展爱国卫生运动，助力乡村人居环境改善；积极构建和谐医患关系，助力乡村社会治理；着力解决因病致贫返贫问题，加快实现城乡卫生健康服务均等化。</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bookmarkStart w:id="0" w:name="_Hlk72324951"/>
      <w:r>
        <w:rPr>
          <w:rFonts w:hint="default" w:ascii="Times New Roman" w:hAnsi="Times New Roman" w:eastAsia="楷体_GB2312" w:cs="Times New Roman"/>
          <w:b/>
          <w:bCs/>
          <w:color w:val="auto"/>
          <w:sz w:val="32"/>
          <w:szCs w:val="32"/>
        </w:rPr>
        <w:t>山海协作工程</w:t>
      </w:r>
      <w:bookmarkEnd w:id="0"/>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山海协作工程是浙江省省委、省政府为了推动该省以浙西南山区和舟山海岛为主的欠发达地区加快发展，实现全省区域协调发展而采取的一项重大战略举措。山海协作工程突破了长期以来以输血帮扶为主的传统扶贫模式，探索建立了符合市场经济条件下扶贫开发以对口造血帮扶为主的新模式。这种协作是互惠互利、可持续的，符合时代发展规律、经济规律和市场规律。</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七、对标浙江争创社会主义现代化先行省的目标任务，按照国家所需、浙江所能、群众所盼、未来所向的要求，努力展示浙江在数字赋能、产业体系、科技创新、农业农村、对外开放、省域治理、文化建设、生态文明和公共服务等10个方面先行先试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数字赋能的核心场景</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数字赋能，就是以数字化改革撬动各领域改革，把数字化改革放到现代化全局的更大场景中去思考和谋划，迭代升级原有改革、推动改革系统集成、在更大场景中谋划改革。数字赋能聚焦的重点领域和设计的重要场景可作为文艺创作题材和素材的一个来源，如“产业大脑+未来工厂”“城市大脑+未来社区”等核心业务场景。数字赋能坚持的目标和导向与文艺创作导向一致：坚持需求导向，聚焦百姓、企业、基层的高频事项，不断提高群众的获得感；坚持问题导向，聚焦当前工作中的痛点、堵点、难点，集中进行攻关突破，提升数据安全和保障能力；坚持效果导向，围绕激发经济活力、社会活力、人的全面发展和社会全面进步。</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未来社区</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未来社区包括：邻里场景、教育场景、健康场景、创业场景、建筑场景、交通场景、低碳场景、服务场景、治理场景等9大场景。实现社区整体智治和智慧生活，最终指向打造绿色低碳智慧的有机生命体、宜居宜业宜游的生活共同体、资源高效配置的社会综合体，形成数字社会城市基本功能单元系统。建好邻里交往中心、公共文化空间、美好生活链圈，推动九大场景落地见效、集成融合，实现从造房子向造家园造生活转变，让未来社区成为实践共同富裕新载体。接下来，未来社区建设理念和要求将贯穿到城市旧改新建、有机更新的全过程。</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高素质技术技能人才培养</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到2022年，浙江要培养100名杰出技能人才，1000名拔尖技能人才和10000名优秀技能人才，高技能人才占技能人才的比例要达到30%以上，在全国率先建成高技能人才强省。建立劳动者终身职业培训制度，形成“工作一生、培训一生、记录一生”的培训机制，让劳动者的技能水平不断得到提升；全面推行新型学徒制，按“招工即招生、入企即入校、企校双师联合培养”的要求，对新招用和新转岗人员纳入学徒培训，鼓励高职院校将职业标准和职业资格证书的能力要求纳入人才培养方案和课程体系。在全国率先打通“技能人才”和“专业技术人才”两个人才体系。</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义乌国际陆港与宁波舟山港一体化发展</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宁波舟山港在共建“一带一路”、长江经济带发展、长三角一体化发展等具有重要地位。义乌作为我国国际贸易的重要窗口，关联着全国200万家中小微企业，与233个国家和地区有贸易往来，义乌出口集装箱占宁波舟山港出口重箱约1/7，是重要的货源地。宁波舟山港与义乌港双核港口四港联动，义甬舟大通道建设得到实质性推进。大榭招商国际码头、实华原油码头、中海油舟山基地和舟岱大桥正在建设，甬舟商贸一体化、油气一体化目标正在推进。马士基、中远海、地中海、达飞、美森等船舶公司及航运代理公司、迪拜环球港务公司等航运企业将港口功能和船务资源前移至义乌，建设宁波舟山港“第六港区”。类似题材挖掘当代年轻人置身跨国企业环境的新视野新认知以及对家国情怀的新感悟。</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美丽中国先行示范</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浙江17年生态省建设，为新时期打造美丽中国先行示范区筑牢了坚实基础。在生态经济方面，创建国家清洁能源示范省、畜牧业绿色发展示范省、农业“机器换人”示范省，现代生态循环农业试点省，还有由陆域和海洋锚地组成的中国（浙江）自由贸易试验区。在生态文明制度创新方面，包括水权交易案例（东阳—义乌水权交易），跨省流域生态补偿政策实践（新安江跨省流域水环境补偿试点），“飞地经济”开发区（金华市金磐开发区），实现省市县乡村五级河长全覆盖，安全生产和环境污染综合责任保险。</w:t>
      </w:r>
    </w:p>
    <w:p>
      <w:pPr>
        <w:spacing w:line="600" w:lineRule="exact"/>
        <w:ind w:firstLine="642"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八、展现中华文明起源发展脉络，彰显中华优秀传统文化魅力，大力弘扬“求真务实，诚信和谐，开放图强”浙江精神，深入挖掘、阐释浙江丰厚的历史文化资源，着力表现浙江文脉的历史传承与发展变迁，特别是围绕浙江的重大文化发展成就和重点历史人物，通过赋予其新的时代内涵和现代表达，有利于提升浙江文化软实力的优秀项目。</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【选题思路举例】</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楷体_GB2312" w:cs="Times New Roman"/>
          <w:b/>
          <w:bCs/>
          <w:color w:val="auto"/>
          <w:sz w:val="32"/>
          <w:szCs w:val="32"/>
        </w:rPr>
        <w:t>上山文化</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上山遗址发现于2000年，位于浦江县黄宅镇境内，距今10000年左右，是中国长江下游及东南沿海地区迄今发现的年代最早的新石器时代遗址，2006年被公布为第六批全国重点文物保护单位。同年“上山文化”正式命名。“上山文化”是迄今为止浙江地区最早的考古文化，是世界稻作文化的起源地，出土了大量世界上最早的彩陶。浙江省文物考古研究所和浦江博物馆对上山遗址进行了三期发掘，共揭露遗址面积1600平方米，获得了丰富的实物资料，包括以大口盆、平底盘、单耳罐为典型代表的陶器群，以石片石器和砾石石器为特征的石制工具等。目前浙江已发现“上山文化”遗址有19处。</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楷体_GB2312" w:cs="Times New Roman"/>
          <w:b/>
          <w:bCs/>
          <w:color w:val="auto"/>
          <w:sz w:val="32"/>
          <w:szCs w:val="32"/>
        </w:rPr>
        <w:t>良渚文化</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良渚文化遗址最大特色是所出土的玉器。挖掘自墓葬中的玉器包含有璧、琮、冠形器、玉镯、柱形玉器等诸多器型。此外，良渚陶器也相当细致。良渚文化遗址中心位于浙江省杭州市余杭区西北部瓶窑镇，核心部位于古城“反山、莫角山、汇观山，11条水坝”均在瓶窑境内。1936年发现的良渚遗址，实际上是余杭县的良渚、瓶窑、安溪三镇之间许多遗址的总称，是长江下游良渚文化的代表性遗址，1959年依照考古惯例按发现地点良渚命名为良渚文化。遗址总面积约34平方公里。2019年中国良渚遗址获准列入世界遗产名录，标志中华五千年新石器时代文化史得到国际社会认可。</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3.</w:t>
      </w:r>
      <w:r>
        <w:rPr>
          <w:rFonts w:hint="default" w:ascii="Times New Roman" w:hAnsi="Times New Roman" w:eastAsia="楷体_GB2312" w:cs="Times New Roman"/>
          <w:color w:val="auto"/>
        </w:rPr>
        <w:t xml:space="preserve"> </w:t>
      </w:r>
      <w:r>
        <w:rPr>
          <w:rFonts w:hint="default" w:ascii="Times New Roman" w:hAnsi="Times New Roman" w:eastAsia="楷体_GB2312" w:cs="Times New Roman"/>
          <w:b/>
          <w:bCs/>
          <w:color w:val="auto"/>
          <w:sz w:val="32"/>
          <w:szCs w:val="32"/>
        </w:rPr>
        <w:t>吴越文化</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吴越国是浙江历史发展上的重要时期，其文化蕴含多种具有当代价值的优秀元素。一是“以人为本”的治国理政思想。吴越国不轻启战端、保境安民、发展经济、改善民生、纳土归宋，体现“民为贵，社稷次之”“十四州百姓，系吴越之根本”等“民本”思想。二是尊崇维护中华一统的家国情怀和担当作为。民族团结、国家统一是民心所向、大义所在。吴越钱氏不以个人与家族为重，纳土归宋换取百姓安居乐业，符合中华民族整体利益的义举善行，为反分裂、促统一树立典范。三是浙江精神的基因熔铸和历史实践。吴越国以其务实作为和历史贡献彰显了浙江农耕文明、海洋文明兼具的文化特质，是浙江精神的生动历史实践，为今天深化发展以浙江精神为底色的创新文化，提供了鲜活深厚的文化资源。</w:t>
      </w:r>
    </w:p>
    <w:p>
      <w:pPr>
        <w:spacing w:line="600" w:lineRule="exact"/>
        <w:ind w:firstLine="642"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4.宋韵文化</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宋韵就是美的生活。通过文艺创作深入挖掘宋韵文化的当代价值，着眼于宋文化高致文雅之美，着眼于宋文化的国际影响力，着眼于宋韵审美与当代生活的融通之处。宋韵文化在世界享有崇高地位，是对外文化交流的 “大美窗口”；依托大项目丰富宋韵文化要素，努力对接海外“文化转码人”，加速丰富再造进程；依托公共文化服务，面向大众充分阐释宋韵审美的精神范式，鼓励更多创意，激活更多需求；将宋韵审美融合到浙江文化产品和工业产品的设计中，提升浙派文化审美品格。充分挖掘宋画、宋瓷、宋词及宋朝日常器物等国宝级文物瑰宝元素，实现中华优秀传统文化和现代审美的碰撞。</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cs="Times New Roman"/>
          <w:color w:val="auto"/>
        </w:rPr>
        <w:t xml:space="preserve"> </w:t>
      </w:r>
      <w:r>
        <w:rPr>
          <w:rFonts w:hint="default" w:ascii="Times New Roman" w:hAnsi="Times New Roman" w:eastAsia="楷体_GB2312" w:cs="Times New Roman"/>
          <w:b/>
          <w:bCs/>
          <w:color w:val="auto"/>
          <w:sz w:val="32"/>
          <w:szCs w:val="32"/>
        </w:rPr>
        <w:t>浙江文化研究工程宋画全集</w:t>
      </w:r>
    </w:p>
    <w:p>
      <w:pPr>
        <w:spacing w:line="600" w:lineRule="exact"/>
        <w:ind w:firstLine="642"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浙江文化研究工程第一期的《宋画全集》是迄今为止最权威的、最完整的宋画集成， 2016年被联合国教科文组织收藏。该项目由浙江大学整体承接，历时6年，将全世界100多家艺术品收藏机构和博物馆的宋画搜集起来。全部共有23大册，大概有7000多页。这项工程填补了中国宋画整理汇编的历史空白，开创了中国绘画历史大型断代集成的先河。这个题材的审美层级较高，具有国际影响力，涉及国内外著名文博机构较多，相关藏品更是国宝级别，堪称世界文化瑰宝，让顶级文化遗产通过文艺创作走进当代人的文化生活极具意义。</w:t>
      </w:r>
    </w:p>
    <w:p>
      <w:pPr>
        <w:spacing w:line="600" w:lineRule="exact"/>
        <w:ind w:firstLine="642"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6.中国水稻</w:t>
      </w:r>
    </w:p>
    <w:p>
      <w:pPr>
        <w:spacing w:line="600" w:lineRule="exact"/>
        <w:ind w:firstLine="642"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水稻源于中国并走向世界。大量农业考古研究证实，水稻在中国广为栽种后，经中南半岛向西传播到印度，于中世纪被引入欧洲南部，为欧洲文明的兴盛提供了物质基础。如今水稻遍布世界各地，是全球一半以上人口的主要食物来源。水稻是推动构建人类命运共同体的重要物证，向世界讲好“中国水稻”的故事，是展示脱贫攻坚成果、彰显道路自信、回应亿万人内心朴素情感的需要。作为农耕文明的代表性区域，浙江拥有灿烂的水稻遗产及稻作文化，拥有独特的自然条件，具有世界稻源之称。</w:t>
      </w:r>
    </w:p>
    <w:sectPr>
      <w:footerReference r:id="rId3" w:type="default"/>
      <w:footerReference r:id="rId4" w:type="even"/>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058756"/>
      <w:docPartObj>
        <w:docPartGallery w:val="autotext"/>
      </w:docPartObj>
    </w:sdtPr>
    <w:sdtContent>
      <w:p>
        <w:pPr>
          <w:pStyle w:val="2"/>
          <w:jc w:val="right"/>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2</w:t>
        </w:r>
        <w:r>
          <w:rPr>
            <w:rFonts w:ascii="Times New Roman" w:hAnsi="Times New Roman" w:eastAsia="仿宋_GB2312" w:cs="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876131"/>
      <w:docPartObj>
        <w:docPartGallery w:val="autotext"/>
      </w:docPartObj>
    </w:sdtPr>
    <w:sdtEndPr>
      <w:rPr>
        <w:rFonts w:ascii="Times New Roman" w:hAnsi="Times New Roman" w:eastAsia="仿宋_GB2312" w:cs="Times New Roman"/>
        <w:sz w:val="28"/>
        <w:szCs w:val="28"/>
      </w:rPr>
    </w:sdtEndPr>
    <w:sdtContent>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2</w:t>
        </w:r>
        <w:r>
          <w:rPr>
            <w:rFonts w:ascii="Times New Roman" w:hAnsi="Times New Roman" w:eastAsia="仿宋_GB2312"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3A"/>
    <w:rsid w:val="00003BAF"/>
    <w:rsid w:val="00014333"/>
    <w:rsid w:val="000708FB"/>
    <w:rsid w:val="000A5269"/>
    <w:rsid w:val="000C3BD6"/>
    <w:rsid w:val="000F09D3"/>
    <w:rsid w:val="001107EB"/>
    <w:rsid w:val="00116616"/>
    <w:rsid w:val="00127275"/>
    <w:rsid w:val="0017506B"/>
    <w:rsid w:val="0019114E"/>
    <w:rsid w:val="0019584F"/>
    <w:rsid w:val="001F6B69"/>
    <w:rsid w:val="00224937"/>
    <w:rsid w:val="00262016"/>
    <w:rsid w:val="002758DD"/>
    <w:rsid w:val="00280903"/>
    <w:rsid w:val="00287534"/>
    <w:rsid w:val="002A19BD"/>
    <w:rsid w:val="002A5FA6"/>
    <w:rsid w:val="002B240A"/>
    <w:rsid w:val="002C0CF3"/>
    <w:rsid w:val="002C71DC"/>
    <w:rsid w:val="00306C3A"/>
    <w:rsid w:val="00307F8A"/>
    <w:rsid w:val="00320C25"/>
    <w:rsid w:val="00327BFF"/>
    <w:rsid w:val="003333D5"/>
    <w:rsid w:val="00335C57"/>
    <w:rsid w:val="00376194"/>
    <w:rsid w:val="00392B5A"/>
    <w:rsid w:val="003A1624"/>
    <w:rsid w:val="003D392E"/>
    <w:rsid w:val="003F3F27"/>
    <w:rsid w:val="00405CA6"/>
    <w:rsid w:val="00434403"/>
    <w:rsid w:val="004808CB"/>
    <w:rsid w:val="00484DF5"/>
    <w:rsid w:val="004934F7"/>
    <w:rsid w:val="00493695"/>
    <w:rsid w:val="004C11FE"/>
    <w:rsid w:val="004C7846"/>
    <w:rsid w:val="004D0964"/>
    <w:rsid w:val="004F55F1"/>
    <w:rsid w:val="00523310"/>
    <w:rsid w:val="00526CC1"/>
    <w:rsid w:val="00533A14"/>
    <w:rsid w:val="0053651A"/>
    <w:rsid w:val="00542D60"/>
    <w:rsid w:val="00546C9F"/>
    <w:rsid w:val="00557CAC"/>
    <w:rsid w:val="005818EB"/>
    <w:rsid w:val="00593C1C"/>
    <w:rsid w:val="005B3C4C"/>
    <w:rsid w:val="005C52C6"/>
    <w:rsid w:val="005D19F2"/>
    <w:rsid w:val="005E358F"/>
    <w:rsid w:val="00605519"/>
    <w:rsid w:val="00632D9B"/>
    <w:rsid w:val="00650EB3"/>
    <w:rsid w:val="006606C4"/>
    <w:rsid w:val="0066682D"/>
    <w:rsid w:val="00666DF5"/>
    <w:rsid w:val="00673AE3"/>
    <w:rsid w:val="006760B6"/>
    <w:rsid w:val="006B227B"/>
    <w:rsid w:val="006C2783"/>
    <w:rsid w:val="006D468E"/>
    <w:rsid w:val="006E3417"/>
    <w:rsid w:val="006F33B7"/>
    <w:rsid w:val="00706F7C"/>
    <w:rsid w:val="0072407F"/>
    <w:rsid w:val="0074228E"/>
    <w:rsid w:val="007475E5"/>
    <w:rsid w:val="00751404"/>
    <w:rsid w:val="00790622"/>
    <w:rsid w:val="00792E55"/>
    <w:rsid w:val="00792F43"/>
    <w:rsid w:val="007B0DDA"/>
    <w:rsid w:val="007B544C"/>
    <w:rsid w:val="007B56B0"/>
    <w:rsid w:val="007C4369"/>
    <w:rsid w:val="007D4B25"/>
    <w:rsid w:val="00801C2A"/>
    <w:rsid w:val="00813F68"/>
    <w:rsid w:val="008276AC"/>
    <w:rsid w:val="00840981"/>
    <w:rsid w:val="008515F8"/>
    <w:rsid w:val="00852AA4"/>
    <w:rsid w:val="00861E57"/>
    <w:rsid w:val="008640B3"/>
    <w:rsid w:val="008873F1"/>
    <w:rsid w:val="00891010"/>
    <w:rsid w:val="00897EF6"/>
    <w:rsid w:val="008C6D32"/>
    <w:rsid w:val="008C7DCB"/>
    <w:rsid w:val="008D09BF"/>
    <w:rsid w:val="008E4513"/>
    <w:rsid w:val="008F12DC"/>
    <w:rsid w:val="008F250F"/>
    <w:rsid w:val="008F52C7"/>
    <w:rsid w:val="009144EF"/>
    <w:rsid w:val="009369DF"/>
    <w:rsid w:val="00953BA7"/>
    <w:rsid w:val="00962D2E"/>
    <w:rsid w:val="0097274B"/>
    <w:rsid w:val="009941DA"/>
    <w:rsid w:val="009D04E5"/>
    <w:rsid w:val="009D4E4D"/>
    <w:rsid w:val="009E7F1E"/>
    <w:rsid w:val="009F2277"/>
    <w:rsid w:val="00A01420"/>
    <w:rsid w:val="00A06AA2"/>
    <w:rsid w:val="00A167EE"/>
    <w:rsid w:val="00A309D5"/>
    <w:rsid w:val="00A47736"/>
    <w:rsid w:val="00A51CD2"/>
    <w:rsid w:val="00A60E99"/>
    <w:rsid w:val="00A73407"/>
    <w:rsid w:val="00A772C8"/>
    <w:rsid w:val="00AA5E35"/>
    <w:rsid w:val="00AA72BC"/>
    <w:rsid w:val="00AC4471"/>
    <w:rsid w:val="00AD26B2"/>
    <w:rsid w:val="00AD5BC4"/>
    <w:rsid w:val="00AE2896"/>
    <w:rsid w:val="00AE5662"/>
    <w:rsid w:val="00AF29EC"/>
    <w:rsid w:val="00B24D6A"/>
    <w:rsid w:val="00B42234"/>
    <w:rsid w:val="00B516CA"/>
    <w:rsid w:val="00B52D8A"/>
    <w:rsid w:val="00B7489F"/>
    <w:rsid w:val="00B81207"/>
    <w:rsid w:val="00B85885"/>
    <w:rsid w:val="00BB1186"/>
    <w:rsid w:val="00BB6464"/>
    <w:rsid w:val="00BC6ABA"/>
    <w:rsid w:val="00BF4EF6"/>
    <w:rsid w:val="00C025D8"/>
    <w:rsid w:val="00C10827"/>
    <w:rsid w:val="00C14609"/>
    <w:rsid w:val="00C1511C"/>
    <w:rsid w:val="00C21AF5"/>
    <w:rsid w:val="00C269C4"/>
    <w:rsid w:val="00C90465"/>
    <w:rsid w:val="00CB67EF"/>
    <w:rsid w:val="00CC1215"/>
    <w:rsid w:val="00CC35A1"/>
    <w:rsid w:val="00CC5C0A"/>
    <w:rsid w:val="00CD13BA"/>
    <w:rsid w:val="00CD2BAB"/>
    <w:rsid w:val="00D0196E"/>
    <w:rsid w:val="00D104D4"/>
    <w:rsid w:val="00D2616B"/>
    <w:rsid w:val="00D3315D"/>
    <w:rsid w:val="00D4043A"/>
    <w:rsid w:val="00D4372C"/>
    <w:rsid w:val="00D47CB8"/>
    <w:rsid w:val="00D7497B"/>
    <w:rsid w:val="00D80EEC"/>
    <w:rsid w:val="00DA3AD0"/>
    <w:rsid w:val="00DA7324"/>
    <w:rsid w:val="00DB4786"/>
    <w:rsid w:val="00DB7E61"/>
    <w:rsid w:val="00DC3351"/>
    <w:rsid w:val="00DC4209"/>
    <w:rsid w:val="00DC7AFB"/>
    <w:rsid w:val="00DE527F"/>
    <w:rsid w:val="00DE7FE9"/>
    <w:rsid w:val="00DF6066"/>
    <w:rsid w:val="00E00147"/>
    <w:rsid w:val="00E004B4"/>
    <w:rsid w:val="00E52845"/>
    <w:rsid w:val="00E72721"/>
    <w:rsid w:val="00E734DC"/>
    <w:rsid w:val="00E74E6D"/>
    <w:rsid w:val="00E8708F"/>
    <w:rsid w:val="00E90977"/>
    <w:rsid w:val="00E959E9"/>
    <w:rsid w:val="00ED165A"/>
    <w:rsid w:val="00F00FB2"/>
    <w:rsid w:val="00F31F32"/>
    <w:rsid w:val="00F41A0A"/>
    <w:rsid w:val="00F47B3D"/>
    <w:rsid w:val="00F85C72"/>
    <w:rsid w:val="00F85D04"/>
    <w:rsid w:val="00FA7F1B"/>
    <w:rsid w:val="00FB3169"/>
    <w:rsid w:val="00FD6FFD"/>
    <w:rsid w:val="00FD7DC4"/>
    <w:rsid w:val="00FE2A6F"/>
    <w:rsid w:val="00FE3987"/>
    <w:rsid w:val="340963E9"/>
    <w:rsid w:val="51F309DB"/>
    <w:rsid w:val="55746898"/>
    <w:rsid w:val="746F5CB4"/>
    <w:rsid w:val="DE6F4D0A"/>
    <w:rsid w:val="FBFFA337"/>
    <w:rsid w:val="FEF7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1722</Words>
  <Characters>9817</Characters>
  <Lines>81</Lines>
  <Paragraphs>23</Paragraphs>
  <TotalTime>0</TotalTime>
  <ScaleCrop>false</ScaleCrop>
  <LinksUpToDate>false</LinksUpToDate>
  <CharactersWithSpaces>11516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2021-05-20T03:24:00Z</dcterms:created>
  <dc:creator>Gehui Li</dc:creator>
  <cp:lastModifiedBy>user</cp:lastModifiedBy>
  <cp:lastPrinted>2021-06-30T17:17:00Z</cp:lastPrinted>
  <dcterms:modified xsi:type="dcterms:W3CDTF">2021-06-30T17:46:48Z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