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参评机构一览表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一、文科学院（系）</w:t>
      </w:r>
    </w:p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敦煌学研究中心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文学院（筹）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经济与文化研究中心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影视与动漫游戏研究中心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中华礼学研究中心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中国语文研究中心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马一浮书院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蒋介石与近代中国研究中心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历史学院（筹）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地方历史文书编纂与研究中心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亚洲研究中心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龙泉司法档案研究中心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公众史学研究中心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国学与近代中国研究中心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基督教与跨文化研究中心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哲学学院（筹）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语言与认知研究中心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佛教文化研究中心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科学技术与产业文化研究中心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学衡国际人文研究中心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道教文化研究中心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佛教资源与研究中心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旅游与休闲研究院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现象学与心性思想研究中心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/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当代中国话语研究中心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外国语言文化与国际交流学院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中华译学馆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世界文学跨学科研究中心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1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传媒与文化产业研究中心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传媒与国际文化学院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公共外交与战略传播研究中心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国际影视发展研究院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中国海洋文化传播研究中心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外语传媒出版质量研究中心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艺术美学研究中心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当代马克思主义美学研究中心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数字沟通研究中心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文物保护和鉴定研究中心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艺术与考古学院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中国古代书画研究中心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文化遗产研究院（石窟寺文物数字化保护国家文物局重点科研基地）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故宫学研究中心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汉藏佛教艺术研究中心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城乡创意发展研究中心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跨学科社会科学研究中心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新经济产业发展研究中心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江万龄国际经济与金融投资研究中心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儒商与东亚文明研究中心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不动产投资研究中心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浙江大学—诺丁汉大学中国与全球经济政策研究中心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法律与经济研究中心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金融科技研究院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中国数字贸易研究院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长三角一体化发展研究中心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律师实务研究中心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海洋法律与治理研究中心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司法文明协同创新中心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中国地方治理与法治发展研究中心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科技与法律研究中心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国际战略与法律研究院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新时代“枫桥经验”研究院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数字法治研究院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基础教育课程研究中心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体育现代化发展研究中心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科举学与考试研究中心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浙江大学—嘉兴心理健康联合研究中心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创新与发展研究中心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健康产业创新研究中心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人力资源与战略发展研究中心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资本市场研究中心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全球创业研究中心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创新管理与持续竞争力研究中心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神经管理学实验室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浙江大学—杭州市服务业发展研究中心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全球浙商研究院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信息技术与经济社会系统研究中心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服务科学研究中心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数据分析和管理国际研究中心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全球农商研究院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浙江大学—未来科技城数字经济创新创业联合研究中心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科教发展战略研究中心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城市发展与低碳战略研究中心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社会组织与社会治理研究中心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非传统安全与和平发展研究中心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中国地方政府创新研究中心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工程教育创新中心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科斯经济研究中心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中国组织发展与绩效评估研究中心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环境与能源政策研究中心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土地与国家发展研究院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老龄和健康研究中心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公共服务与绩效评估研究中心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城镇化与空间治理研究中心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财税大数据与政策研究中心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雄安发展中心*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共享与发展研究院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浙江大学中国—挪威环境与社会联合研究中心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浙江大学—国际食物政策研究所国际发展联合研究中心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社区建设与移民管理研究中心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德育与学生发展研究中心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中国特色社会主义研究中心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jc w:val="left"/>
        <w:textAlignment w:val="center"/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注：带*机构参照研究机构管理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00" w:lineRule="exact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二、其他相关单位</w:t>
      </w:r>
    </w:p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廉政研究中心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纪律检查委员会办公室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党建研究中心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妇女研究中心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研究生教育研究中心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中国西部发展研究院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社会科学研究院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社会科学研究基础平台（社会调查研究中心、政策仿真实验室、实验社会科学实验室、文科信息分析中心）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人文高等研究院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亚洲文明研究院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人文学部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青山商学高等研究院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社会科学学部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港航物流与自由贸易岛研究中心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海洋学院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信息资源分析与应用研究中心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陈香梅资料与研究中心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校史研究中心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浙江大学中国水上运动发展中心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公共体育与艺术部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浙江大学—蚂蚁集团金融科技研究中心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国际联合学院（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海宁国际校区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国家制度研究院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习近平法治思想研究中心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数字出版研究中心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“一带一路”合作与发展协同创新中心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中国西部发展研究院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中西书院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人文高等研究院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书画艺术与科技鉴定研究院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jc w:val="left"/>
        <w:textAlignment w:val="center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注：带*机构参照研究机构管理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  <w:sz w:val="20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0"/>
        <w:szCs w:val="28"/>
        <w:lang w:val="en-US" w:eastAsia="zh-CN"/>
      </w:rPr>
      <w:br w:type="textWrapping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7C03"/>
    <w:rsid w:val="00274CA9"/>
    <w:rsid w:val="0031380D"/>
    <w:rsid w:val="006620F9"/>
    <w:rsid w:val="00AB7A64"/>
    <w:rsid w:val="01913CCA"/>
    <w:rsid w:val="01CE3A0A"/>
    <w:rsid w:val="05025AEC"/>
    <w:rsid w:val="05F1408A"/>
    <w:rsid w:val="062E2CC9"/>
    <w:rsid w:val="068F0D1F"/>
    <w:rsid w:val="07AF6BA7"/>
    <w:rsid w:val="07F433B5"/>
    <w:rsid w:val="08730E67"/>
    <w:rsid w:val="096F5E02"/>
    <w:rsid w:val="09BA2AC6"/>
    <w:rsid w:val="09EF276F"/>
    <w:rsid w:val="0A4D7496"/>
    <w:rsid w:val="0B816BA9"/>
    <w:rsid w:val="0BCF0AAA"/>
    <w:rsid w:val="0BE92328"/>
    <w:rsid w:val="0CE42333"/>
    <w:rsid w:val="0DC645BA"/>
    <w:rsid w:val="0F2067EC"/>
    <w:rsid w:val="10465380"/>
    <w:rsid w:val="10C21B83"/>
    <w:rsid w:val="10C85F5B"/>
    <w:rsid w:val="11AD363C"/>
    <w:rsid w:val="12951598"/>
    <w:rsid w:val="13573133"/>
    <w:rsid w:val="14733F9D"/>
    <w:rsid w:val="157004A4"/>
    <w:rsid w:val="15B21F7D"/>
    <w:rsid w:val="15B900D5"/>
    <w:rsid w:val="16351E52"/>
    <w:rsid w:val="164436DC"/>
    <w:rsid w:val="174067F1"/>
    <w:rsid w:val="186C142F"/>
    <w:rsid w:val="1936645A"/>
    <w:rsid w:val="1C0B7E3C"/>
    <w:rsid w:val="1CC25AC1"/>
    <w:rsid w:val="1DA006F8"/>
    <w:rsid w:val="1F3B62FE"/>
    <w:rsid w:val="204746CE"/>
    <w:rsid w:val="223E3E3C"/>
    <w:rsid w:val="22460F43"/>
    <w:rsid w:val="24612064"/>
    <w:rsid w:val="24D9609E"/>
    <w:rsid w:val="260E3B25"/>
    <w:rsid w:val="28321D4D"/>
    <w:rsid w:val="295D5A88"/>
    <w:rsid w:val="296E6CE4"/>
    <w:rsid w:val="2C7072E8"/>
    <w:rsid w:val="2CB25B52"/>
    <w:rsid w:val="2CBC3152"/>
    <w:rsid w:val="2D104BC8"/>
    <w:rsid w:val="2DBE6445"/>
    <w:rsid w:val="2E1754F4"/>
    <w:rsid w:val="2E4722CA"/>
    <w:rsid w:val="2E6A179C"/>
    <w:rsid w:val="2F6F5B24"/>
    <w:rsid w:val="307F7AFA"/>
    <w:rsid w:val="3146450B"/>
    <w:rsid w:val="327F6BB9"/>
    <w:rsid w:val="33291F9F"/>
    <w:rsid w:val="33D145C8"/>
    <w:rsid w:val="350902DA"/>
    <w:rsid w:val="355C665B"/>
    <w:rsid w:val="35A02FB9"/>
    <w:rsid w:val="37B3277F"/>
    <w:rsid w:val="37C4673A"/>
    <w:rsid w:val="381004BD"/>
    <w:rsid w:val="38C56C7E"/>
    <w:rsid w:val="396106E4"/>
    <w:rsid w:val="3A6546CD"/>
    <w:rsid w:val="3BDD1231"/>
    <w:rsid w:val="3DA45161"/>
    <w:rsid w:val="3DBD6105"/>
    <w:rsid w:val="3E9B07FC"/>
    <w:rsid w:val="400B332C"/>
    <w:rsid w:val="4095054D"/>
    <w:rsid w:val="4105404B"/>
    <w:rsid w:val="415B1EBD"/>
    <w:rsid w:val="41886A2A"/>
    <w:rsid w:val="42220634"/>
    <w:rsid w:val="4255690C"/>
    <w:rsid w:val="4305377C"/>
    <w:rsid w:val="43E91A02"/>
    <w:rsid w:val="451231DA"/>
    <w:rsid w:val="46016DE4"/>
    <w:rsid w:val="46CD258A"/>
    <w:rsid w:val="47594790"/>
    <w:rsid w:val="48836A26"/>
    <w:rsid w:val="48BD2E6A"/>
    <w:rsid w:val="49515815"/>
    <w:rsid w:val="4A184D6E"/>
    <w:rsid w:val="4A8C1339"/>
    <w:rsid w:val="4AFA2747"/>
    <w:rsid w:val="4BC15012"/>
    <w:rsid w:val="4C0849EF"/>
    <w:rsid w:val="4CCA148B"/>
    <w:rsid w:val="4E4A6B18"/>
    <w:rsid w:val="4EE738BB"/>
    <w:rsid w:val="4F6F6F66"/>
    <w:rsid w:val="4FE37C4D"/>
    <w:rsid w:val="509034CE"/>
    <w:rsid w:val="5257047F"/>
    <w:rsid w:val="533B01A7"/>
    <w:rsid w:val="540B7FA6"/>
    <w:rsid w:val="544F02B4"/>
    <w:rsid w:val="54773FDF"/>
    <w:rsid w:val="549A7542"/>
    <w:rsid w:val="54A61249"/>
    <w:rsid w:val="58FA7DB6"/>
    <w:rsid w:val="59476B94"/>
    <w:rsid w:val="59620E4F"/>
    <w:rsid w:val="599262CC"/>
    <w:rsid w:val="59C94CBE"/>
    <w:rsid w:val="5B4F43E9"/>
    <w:rsid w:val="5C0A6562"/>
    <w:rsid w:val="5C440F79"/>
    <w:rsid w:val="5C5563C3"/>
    <w:rsid w:val="5CF74EA3"/>
    <w:rsid w:val="5D0536BD"/>
    <w:rsid w:val="5D9D52E0"/>
    <w:rsid w:val="5E5E2B95"/>
    <w:rsid w:val="5F6002BA"/>
    <w:rsid w:val="608A7C71"/>
    <w:rsid w:val="61A44D62"/>
    <w:rsid w:val="61F74799"/>
    <w:rsid w:val="620659D7"/>
    <w:rsid w:val="62794B4D"/>
    <w:rsid w:val="62A82E54"/>
    <w:rsid w:val="63014446"/>
    <w:rsid w:val="63412CC1"/>
    <w:rsid w:val="637E1445"/>
    <w:rsid w:val="63F55D49"/>
    <w:rsid w:val="64615D18"/>
    <w:rsid w:val="64C66697"/>
    <w:rsid w:val="674E4EFA"/>
    <w:rsid w:val="67E6412F"/>
    <w:rsid w:val="68D5773D"/>
    <w:rsid w:val="691C1682"/>
    <w:rsid w:val="698F557F"/>
    <w:rsid w:val="69DA3A17"/>
    <w:rsid w:val="6A843983"/>
    <w:rsid w:val="6AC10733"/>
    <w:rsid w:val="6D0668D1"/>
    <w:rsid w:val="6DE05374"/>
    <w:rsid w:val="6E8977BA"/>
    <w:rsid w:val="6F1654F2"/>
    <w:rsid w:val="6F343BCA"/>
    <w:rsid w:val="702569EF"/>
    <w:rsid w:val="70626515"/>
    <w:rsid w:val="70BD6A5C"/>
    <w:rsid w:val="70F3716D"/>
    <w:rsid w:val="71A53518"/>
    <w:rsid w:val="71F725BC"/>
    <w:rsid w:val="720E4DBA"/>
    <w:rsid w:val="729115F8"/>
    <w:rsid w:val="72A252EE"/>
    <w:rsid w:val="732E5D67"/>
    <w:rsid w:val="74394FB2"/>
    <w:rsid w:val="753D12FE"/>
    <w:rsid w:val="75994748"/>
    <w:rsid w:val="75CC61D2"/>
    <w:rsid w:val="760032A4"/>
    <w:rsid w:val="787D1C72"/>
    <w:rsid w:val="797057FE"/>
    <w:rsid w:val="7A32648B"/>
    <w:rsid w:val="7B2C39A7"/>
    <w:rsid w:val="7BA67BFD"/>
    <w:rsid w:val="7C563807"/>
    <w:rsid w:val="7CAA5451"/>
    <w:rsid w:val="7D163A22"/>
    <w:rsid w:val="7D674451"/>
    <w:rsid w:val="7D8165E1"/>
    <w:rsid w:val="7D8C4BD1"/>
    <w:rsid w:val="7E6D09FF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1744</Words>
  <Characters>1854</Characters>
  <Lines>0</Lines>
  <Paragraphs>0</Paragraphs>
  <TotalTime>1</TotalTime>
  <ScaleCrop>false</ScaleCrop>
  <LinksUpToDate>false</LinksUpToDate>
  <CharactersWithSpaces>1854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2022-03-28T05:51:00Z</dcterms:created>
  <dc:creator>DELL</dc:creator>
  <cp:lastModifiedBy>Rong</cp:lastModifiedBy>
  <dcterms:modified xsi:type="dcterms:W3CDTF">2022-03-31T09:40:18Z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BEE45DE7AC3D4907ABB000C5604675A2</vt:lpwstr>
  </property>
</Properties>
</file>