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"/>
        <w:spacing w:line="312" w:lineRule="auto"/>
        <w:jc w:val="both"/>
        <w:rPr>
          <w:rFonts w:ascii="PingFang SC Regular" w:cs="PingFang SC Regular" w:hAnsi="PingFang SC Regular" w:eastAsia="PingFang SC Regular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一、来稿请附</w:t>
      </w:r>
      <w:r>
        <w:rPr>
          <w:rFonts w:ascii="Helvetica" w:hAnsi="Helvetica"/>
          <w:rtl w:val="0"/>
        </w:rPr>
        <w:t>200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～</w:t>
      </w:r>
      <w:r>
        <w:rPr>
          <w:rFonts w:ascii="Helvetica" w:hAnsi="Helvetica"/>
          <w:rtl w:val="0"/>
        </w:rPr>
        <w:t>300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字的中文内容提要，客观论述文章的主要观点，不加主观评论和价值判断；反映论文主要内容的中文关键词</w:t>
      </w:r>
      <w:r>
        <w:rPr>
          <w:rFonts w:ascii="Helvetica" w:hAnsi="Helvetica"/>
          <w:rtl w:val="0"/>
        </w:rPr>
        <w:t>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～</w:t>
      </w:r>
      <w:r>
        <w:rPr>
          <w:rFonts w:ascii="Helvetica" w:hAnsi="Helvetica"/>
          <w:rtl w:val="0"/>
        </w:rPr>
        <w:t>5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个；请将题目、作者姓名、内容提要、关键词翻译成英文附于文末。</w:t>
      </w:r>
    </w:p>
    <w:p>
      <w:pPr>
        <w:pStyle w:val="正文"/>
        <w:spacing w:line="312" w:lineRule="auto"/>
        <w:jc w:val="both"/>
        <w:rPr>
          <w:rFonts w:ascii="PingFang SC Regular" w:cs="PingFang SC Regular" w:hAnsi="PingFang SC Regular" w:eastAsia="PingFang SC Regular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二、文章正文中的标题、表格、图、等式以及尾注必须分别连续编号。</w:t>
      </w:r>
      <w:r>
        <w:rPr>
          <w:rFonts w:ascii="Helvetica" w:hAnsi="Helvetica" w:hint="default"/>
          <w:rtl w:val="0"/>
        </w:rPr>
        <w:t> 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一级标题用一、二、三等编号，二级标题用（一）（二）（三）等，三级标题用</w:t>
      </w:r>
      <w:r>
        <w:rPr>
          <w:rFonts w:ascii="Helvetica" w:hAnsi="Helvetica"/>
          <w:rtl w:val="0"/>
        </w:rPr>
        <w:t>1.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、</w:t>
      </w:r>
      <w:r>
        <w:rPr>
          <w:rFonts w:ascii="Helvetica" w:hAnsi="Helvetica"/>
          <w:rtl w:val="0"/>
        </w:rPr>
        <w:t>2.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、</w:t>
      </w:r>
      <w:r>
        <w:rPr>
          <w:rFonts w:ascii="Helvetica" w:hAnsi="Helvetica"/>
          <w:rtl w:val="0"/>
        </w:rPr>
        <w:t>3.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等，四级标题用（</w:t>
      </w:r>
      <w:r>
        <w:rPr>
          <w:rFonts w:ascii="Helvetica" w:hAnsi="Helvetica"/>
          <w:rtl w:val="0"/>
        </w:rPr>
        <w:t>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）、（</w:t>
      </w:r>
      <w:r>
        <w:rPr>
          <w:rFonts w:ascii="Helvetica" w:hAnsi="Helvetica"/>
          <w:rtl w:val="0"/>
        </w:rPr>
        <w:t>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）、（</w:t>
      </w:r>
      <w:r>
        <w:rPr>
          <w:rFonts w:ascii="Helvetica" w:hAnsi="Helvetica"/>
          <w:rtl w:val="0"/>
        </w:rPr>
        <w:t>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）等。表格的计数为：表</w:t>
      </w:r>
      <w:r>
        <w:rPr>
          <w:rFonts w:ascii="Helvetica" w:hAnsi="Helvetica"/>
          <w:rtl w:val="0"/>
        </w:rPr>
        <w:t>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、表</w:t>
      </w:r>
      <w:r>
        <w:rPr>
          <w:rFonts w:ascii="Helvetica" w:hAnsi="Helvetica"/>
          <w:rtl w:val="0"/>
        </w:rPr>
        <w:t>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等，表格标题放在表格的上方，图的计数为图一、图二等，图的标题放在图的下方。</w:t>
      </w:r>
    </w:p>
    <w:p>
      <w:pPr>
        <w:pStyle w:val="正文"/>
        <w:spacing w:line="312" w:lineRule="auto"/>
        <w:jc w:val="both"/>
        <w:rPr>
          <w:rFonts w:ascii="PingFang SC Regular" w:cs="PingFang SC Regular" w:hAnsi="PingFang SC Regular" w:eastAsia="PingFang SC Regular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三、注释与参考文献、图表规范</w:t>
      </w:r>
    </w:p>
    <w:p>
      <w:pPr>
        <w:pStyle w:val="正文"/>
        <w:spacing w:line="312" w:lineRule="auto"/>
        <w:jc w:val="both"/>
        <w:rPr>
          <w:rFonts w:ascii="PingFang SC Regular" w:cs="PingFang SC Regular" w:hAnsi="PingFang SC Regular" w:eastAsia="PingFang SC Regular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文内注释如为对句子的注释，请标记在句子标点符号之后（见下），如为对词组的注释，则标注在词之后（见下）。本刊注释采用上标注与括号注两种方式，注释与参考文献格式如下：</w:t>
      </w:r>
    </w:p>
    <w:p>
      <w:pPr>
        <w:pStyle w:val="正文"/>
        <w:spacing w:line="312" w:lineRule="auto"/>
        <w:jc w:val="both"/>
        <w:rPr>
          <w:rFonts w:ascii="PingFang SC Regular" w:cs="PingFang SC Regular" w:hAnsi="PingFang SC Regular" w:eastAsia="PingFang SC Regular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战略是公司价值创造的决定性因素之一，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①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兼并收购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②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是公司实施发展战略的一种手段。（许光伟，</w:t>
      </w:r>
      <w:r>
        <w:rPr>
          <w:rFonts w:ascii="Helvetica" w:hAnsi="Helvetica"/>
          <w:rtl w:val="0"/>
        </w:rPr>
        <w:t>2007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）</w:t>
      </w:r>
    </w:p>
    <w:p>
      <w:pPr>
        <w:pStyle w:val="正文"/>
        <w:spacing w:line="312" w:lineRule="auto"/>
        <w:jc w:val="both"/>
        <w:rPr>
          <w:rFonts w:ascii="PingFang SC Regular" w:cs="PingFang SC Regular" w:hAnsi="PingFang SC Regular" w:eastAsia="PingFang SC Regular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注释：</w:t>
      </w:r>
    </w:p>
    <w:p>
      <w:pPr>
        <w:pStyle w:val="正文"/>
        <w:spacing w:line="312" w:lineRule="auto"/>
        <w:jc w:val="both"/>
        <w:rPr>
          <w:rFonts w:ascii="PingFang SC Regular" w:cs="PingFang SC Regular" w:hAnsi="PingFang SC Regular" w:eastAsia="PingFang SC Regular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①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马克思：《资本论（第</w:t>
      </w:r>
      <w:r>
        <w:rPr>
          <w:rFonts w:ascii="Helvetica" w:hAnsi="Helvetica"/>
          <w:rtl w:val="0"/>
        </w:rPr>
        <w:t>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卷）》，某某某译，人民出版社</w:t>
      </w:r>
      <w:r>
        <w:rPr>
          <w:rFonts w:ascii="Helvetica" w:hAnsi="Helvetica"/>
          <w:rtl w:val="0"/>
        </w:rPr>
        <w:t>1975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ja-JP" w:eastAsia="ja-JP"/>
        </w:rPr>
        <w:t>年版，第</w:t>
      </w:r>
      <w:r>
        <w:rPr>
          <w:rFonts w:ascii="Helvetica" w:hAnsi="Helvetica"/>
          <w:rtl w:val="0"/>
        </w:rPr>
        <w:t>75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页。</w:t>
      </w:r>
    </w:p>
    <w:p>
      <w:pPr>
        <w:pStyle w:val="正文"/>
        <w:spacing w:line="312" w:lineRule="auto"/>
        <w:jc w:val="both"/>
        <w:rPr>
          <w:rFonts w:ascii="PingFang SC Regular" w:cs="PingFang SC Regular" w:hAnsi="PingFang SC Regular" w:eastAsia="PingFang SC Regular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②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许光伟：《国内学者的马克思企业理论研究》，载《经济学家》</w:t>
      </w:r>
      <w:r>
        <w:rPr>
          <w:rFonts w:ascii="Helvetica" w:hAnsi="Helvetica"/>
          <w:rtl w:val="0"/>
        </w:rPr>
        <w:t>2007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ja-JP" w:eastAsia="ja-JP"/>
        </w:rPr>
        <w:t>年第</w:t>
      </w:r>
      <w:r>
        <w:rPr>
          <w:rFonts w:ascii="Helvetica" w:hAnsi="Helvetica"/>
          <w:rtl w:val="0"/>
        </w:rPr>
        <w:t>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期，第</w:t>
      </w:r>
      <w:r>
        <w:rPr>
          <w:rFonts w:ascii="Helvetica" w:hAnsi="Helvetica"/>
          <w:rtl w:val="0"/>
          <w:lang w:val="ru-RU"/>
        </w:rPr>
        <w:t>74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页。</w:t>
      </w:r>
    </w:p>
    <w:p>
      <w:pPr>
        <w:pStyle w:val="正文"/>
        <w:spacing w:line="312" w:lineRule="auto"/>
        <w:jc w:val="both"/>
        <w:rPr>
          <w:rFonts w:ascii="PingFang SC Regular" w:cs="PingFang SC Regular" w:hAnsi="PingFang SC Regular" w:eastAsia="PingFang SC Regular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ja-JP" w:eastAsia="ja-JP"/>
        </w:rPr>
        <w:t>参考文献：</w:t>
      </w:r>
    </w:p>
    <w:p>
      <w:pPr>
        <w:pStyle w:val="正文"/>
        <w:spacing w:line="312" w:lineRule="auto"/>
        <w:jc w:val="both"/>
        <w:rPr>
          <w:rFonts w:ascii="PingFang SC Regular" w:cs="PingFang SC Regular" w:hAnsi="PingFang SC Regular" w:eastAsia="PingFang SC Regular"/>
          <w:sz w:val="24"/>
          <w:szCs w:val="24"/>
        </w:rPr>
      </w:pPr>
      <w:r>
        <w:rPr>
          <w:rFonts w:ascii="Helvetica" w:hAnsi="Helvetica"/>
          <w:rtl w:val="0"/>
        </w:rPr>
        <w:t>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．马克思：《资本论（第</w:t>
      </w:r>
      <w:r>
        <w:rPr>
          <w:rFonts w:ascii="Helvetica" w:hAnsi="Helvetica"/>
          <w:rtl w:val="0"/>
        </w:rPr>
        <w:t>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卷）》，某某某译，人民出版社</w:t>
      </w:r>
      <w:r>
        <w:rPr>
          <w:rFonts w:ascii="Helvetica" w:hAnsi="Helvetica"/>
          <w:rtl w:val="0"/>
        </w:rPr>
        <w:t>1975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ja-JP" w:eastAsia="ja-JP"/>
        </w:rPr>
        <w:t>年版。</w:t>
      </w:r>
    </w:p>
    <w:p>
      <w:pPr>
        <w:pStyle w:val="正文"/>
        <w:spacing w:line="312" w:lineRule="auto"/>
        <w:jc w:val="both"/>
        <w:rPr>
          <w:rFonts w:ascii="PingFang SC Regular" w:cs="PingFang SC Regular" w:hAnsi="PingFang SC Regular" w:eastAsia="PingFang SC Regular"/>
          <w:sz w:val="24"/>
          <w:szCs w:val="24"/>
        </w:rPr>
      </w:pPr>
      <w:r>
        <w:rPr>
          <w:rFonts w:ascii="Helvetica" w:hAnsi="Helvetica"/>
          <w:rtl w:val="0"/>
        </w:rPr>
        <w:t>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．许光伟：《国内学者的马克思企业理论研究》，载《经济学家》</w:t>
      </w:r>
      <w:r>
        <w:rPr>
          <w:rFonts w:ascii="Helvetica" w:hAnsi="Helvetica"/>
          <w:rtl w:val="0"/>
        </w:rPr>
        <w:t>2007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ja-JP" w:eastAsia="ja-JP"/>
        </w:rPr>
        <w:t>年第</w:t>
      </w:r>
      <w:r>
        <w:rPr>
          <w:rFonts w:ascii="Helvetica" w:hAnsi="Helvetica"/>
          <w:rtl w:val="0"/>
        </w:rPr>
        <w:t>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期。</w:t>
      </w:r>
    </w:p>
    <w:p>
      <w:pPr>
        <w:pStyle w:val="正文"/>
        <w:spacing w:line="312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 Neue" w:hAnsi="Helvetica Neue"/>
          <w:rtl w:val="0"/>
        </w:rPr>
        <w:t>3</w:t>
      </w:r>
      <w:r>
        <w:rPr>
          <w:rFonts w:eastAsia="PingFang SC Regular" w:hint="eastAsia"/>
          <w:rtl w:val="0"/>
        </w:rPr>
        <w:t>．</w:t>
      </w:r>
      <w:r>
        <w:rPr>
          <w:rFonts w:ascii="Helvetica Neue" w:hAnsi="Helvetica Neue"/>
          <w:rtl w:val="0"/>
          <w:lang w:val="it-IT"/>
        </w:rPr>
        <w:t>Romer, Paul M.</w:t>
      </w:r>
      <w:r>
        <w:rPr>
          <w:rFonts w:eastAsia="PingFang SC Regular" w:hint="eastAsia"/>
          <w:rtl w:val="0"/>
        </w:rPr>
        <w:t>，</w:t>
      </w:r>
      <w:r>
        <w:rPr>
          <w:rFonts w:ascii="Helvetica Neue" w:hAnsi="Helvetica Neue" w:hint="default"/>
          <w:rtl w:val="0"/>
        </w:rPr>
        <w:t> “</w:t>
      </w:r>
      <w:r>
        <w:rPr>
          <w:rFonts w:ascii="Helvetica Neue" w:hAnsi="Helvetica Neue"/>
          <w:rtl w:val="0"/>
          <w:lang w:val="en-US"/>
        </w:rPr>
        <w:t>Increasing return and Long-Run Growth</w:t>
      </w:r>
      <w:r>
        <w:rPr>
          <w:rFonts w:ascii="Helvetica Neue" w:hAnsi="Helvetica Neue" w:hint="default"/>
          <w:rtl w:val="0"/>
        </w:rPr>
        <w:t>”</w:t>
      </w:r>
      <w:r>
        <w:rPr>
          <w:rFonts w:eastAsia="PingFang SC Regular" w:hint="eastAsia"/>
          <w:rtl w:val="0"/>
        </w:rPr>
        <w:t>，</w:t>
      </w:r>
      <w:r>
        <w:rPr>
          <w:rFonts w:ascii="Helvetica Neue" w:hAnsi="Helvetica Neue"/>
          <w:rtl w:val="0"/>
          <w:lang w:val="en-US"/>
        </w:rPr>
        <w:t>Journal of Political Economy, 1986</w:t>
      </w:r>
      <w:r>
        <w:rPr>
          <w:rFonts w:eastAsia="PingFang SC Regular" w:hint="eastAsia"/>
          <w:rtl w:val="0"/>
        </w:rPr>
        <w:t>，</w:t>
      </w:r>
      <w:r>
        <w:rPr>
          <w:rFonts w:ascii="Helvetica Neue" w:hAnsi="Helvetica Neue"/>
          <w:rtl w:val="0"/>
        </w:rPr>
        <w:t>94</w:t>
      </w:r>
      <w:r>
        <w:rPr>
          <w:rFonts w:eastAsia="PingFang SC Regular" w:hint="eastAsia"/>
          <w:rtl w:val="0"/>
        </w:rPr>
        <w:t>（</w:t>
      </w:r>
      <w:r>
        <w:rPr>
          <w:rFonts w:ascii="Helvetica Neue" w:hAnsi="Helvetica Neue"/>
          <w:rtl w:val="0"/>
        </w:rPr>
        <w:t>10</w:t>
      </w:r>
      <w:r>
        <w:rPr>
          <w:rFonts w:eastAsia="PingFang SC Regular" w:hint="eastAsia"/>
          <w:rtl w:val="0"/>
        </w:rPr>
        <w:t>）</w:t>
      </w:r>
      <w:r>
        <w:rPr>
          <w:rFonts w:ascii="Helvetica Neue" w:hAnsi="Helvetica Neue"/>
          <w:rtl w:val="0"/>
        </w:rPr>
        <w:t>, 1002-1037.</w:t>
      </w:r>
    </w:p>
    <w:p>
      <w:pPr>
        <w:pStyle w:val="正文"/>
        <w:spacing w:line="312" w:lineRule="auto"/>
        <w:jc w:val="both"/>
        <w:rPr>
          <w:rFonts w:ascii="PingFang SC Regular" w:cs="PingFang SC Regular" w:hAnsi="PingFang SC Regular" w:eastAsia="PingFang SC Regular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ja-JP" w:eastAsia="ja-JP"/>
        </w:rPr>
        <w:t>所有注释与参考文献须置于文章的末尾，参考文献按作者姓名的拼音顺序编号排列。</w:t>
      </w:r>
    </w:p>
    <w:p>
      <w:pPr>
        <w:pStyle w:val="正文"/>
        <w:spacing w:line="312" w:lineRule="auto"/>
        <w:jc w:val="both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四、翻译外国人名请附原文或直接采用原文。专业术语的翻译请尽量简化，较为生僻或可能引起歧义时请附原文。</w:t>
      </w:r>
      <w:r>
        <w:rPr>
          <w:rFonts w:ascii="PingFang SC Regular" w:cs="PingFang SC Regular" w:hAnsi="PingFang SC Regular" w:eastAsia="PingFang SC Regular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PingFang SC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 Neue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zh-CN" w:eastAsia="zh-CN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