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5382" w:rsidRPr="00005382" w:rsidRDefault="00005382" w:rsidP="00005382">
      <w:pPr>
        <w:ind w:firstLineChars="0" w:firstLine="0"/>
        <w:contextualSpacing/>
        <w:rPr>
          <w:rFonts w:ascii="黑体" w:eastAsia="黑体" w:hAnsi="黑体"/>
          <w:kern w:val="0"/>
        </w:rPr>
      </w:pPr>
      <w:r w:rsidRPr="00005382">
        <w:rPr>
          <w:rFonts w:ascii="黑体" w:eastAsia="黑体" w:hAnsi="黑体" w:hint="eastAsia"/>
          <w:kern w:val="0"/>
        </w:rPr>
        <w:t>附件1</w:t>
      </w:r>
    </w:p>
    <w:p w:rsidR="00005382" w:rsidRPr="00005382" w:rsidRDefault="00005382" w:rsidP="00005382">
      <w:pPr>
        <w:snapToGrid w:val="0"/>
        <w:spacing w:line="300" w:lineRule="auto"/>
        <w:ind w:firstLineChars="0" w:firstLine="0"/>
        <w:jc w:val="center"/>
        <w:rPr>
          <w:rFonts w:hAnsi="Calibri" w:hint="eastAsia"/>
          <w:kern w:val="0"/>
        </w:rPr>
      </w:pPr>
    </w:p>
    <w:p w:rsidR="00005382" w:rsidRPr="00005382" w:rsidRDefault="00005382" w:rsidP="00005382">
      <w:pPr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  <w:r w:rsidRPr="00005382">
        <w:rPr>
          <w:rFonts w:ascii="方正小标宋简体" w:eastAsia="方正小标宋简体" w:hAnsi="Calibri" w:hint="eastAsia"/>
          <w:kern w:val="0"/>
          <w:sz w:val="44"/>
          <w:szCs w:val="44"/>
        </w:rPr>
        <w:t>浙江省重大改革任务智库专项研究任务清单</w:t>
      </w:r>
    </w:p>
    <w:p w:rsidR="00005382" w:rsidRPr="00005382" w:rsidRDefault="00005382" w:rsidP="00005382">
      <w:pPr>
        <w:snapToGrid w:val="0"/>
        <w:spacing w:line="300" w:lineRule="auto"/>
        <w:ind w:firstLineChars="0" w:firstLine="0"/>
        <w:jc w:val="center"/>
        <w:rPr>
          <w:rFonts w:hAnsi="Calibri" w:hint="eastAsia"/>
          <w:kern w:val="0"/>
        </w:rPr>
      </w:pPr>
    </w:p>
    <w:p w:rsidR="00005382" w:rsidRPr="00005382" w:rsidRDefault="00005382" w:rsidP="00005382">
      <w:pPr>
        <w:ind w:firstLine="620"/>
        <w:contextualSpacing/>
        <w:rPr>
          <w:rFonts w:ascii="黑体" w:eastAsia="黑体" w:hAnsi="黑体" w:hint="eastAsia"/>
          <w:kern w:val="0"/>
        </w:rPr>
      </w:pPr>
      <w:r w:rsidRPr="00005382">
        <w:rPr>
          <w:rFonts w:ascii="黑体" w:eastAsia="黑体" w:hAnsi="黑体" w:hint="eastAsia"/>
          <w:kern w:val="0"/>
        </w:rPr>
        <w:t>一、</w:t>
      </w:r>
      <w:r w:rsidRPr="00005382">
        <w:rPr>
          <w:rFonts w:ascii="黑体" w:eastAsia="黑体" w:hAnsi="黑体"/>
          <w:kern w:val="0"/>
        </w:rPr>
        <w:t>13</w:t>
      </w:r>
      <w:r w:rsidRPr="00005382">
        <w:rPr>
          <w:rFonts w:ascii="黑体" w:eastAsia="黑体" w:hAnsi="黑体" w:hint="eastAsia"/>
          <w:kern w:val="0"/>
        </w:rPr>
        <w:t>项牵一发动全身重大改革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 w:hint="eastAsia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（一）教育科技人才体制机制一体改革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1.</w:t>
      </w:r>
      <w:r w:rsidRPr="00005382">
        <w:rPr>
          <w:rFonts w:hAnsi="Calibri"/>
          <w:kern w:val="0"/>
        </w:rPr>
        <w:t>人才评价改革、职务科技成果权属和收益分配改革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2.</w:t>
      </w:r>
      <w:r w:rsidRPr="00005382">
        <w:rPr>
          <w:rFonts w:hAnsi="Calibri"/>
          <w:kern w:val="0"/>
        </w:rPr>
        <w:t>高校重大科研成果培育机制、科教融汇和产教融合机制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3.</w:t>
      </w:r>
      <w:r w:rsidRPr="00005382">
        <w:rPr>
          <w:rFonts w:hAnsi="Calibri"/>
          <w:kern w:val="0"/>
        </w:rPr>
        <w:t>概念验证机制、</w:t>
      </w:r>
      <w:r w:rsidRPr="00005382">
        <w:rPr>
          <w:rFonts w:hAnsi="Calibri" w:hint="eastAsia"/>
          <w:kern w:val="0"/>
        </w:rPr>
        <w:t>“</w:t>
      </w:r>
      <w:r w:rsidRPr="00005382">
        <w:rPr>
          <w:rFonts w:hAnsi="Calibri"/>
          <w:kern w:val="0"/>
        </w:rPr>
        <w:t>三先三后</w:t>
      </w:r>
      <w:r w:rsidRPr="00005382">
        <w:rPr>
          <w:rFonts w:hAnsi="Calibri" w:hint="eastAsia"/>
          <w:kern w:val="0"/>
        </w:rPr>
        <w:t>”</w:t>
      </w:r>
      <w:r w:rsidRPr="00005382">
        <w:rPr>
          <w:rFonts w:hAnsi="Calibri"/>
          <w:kern w:val="0"/>
        </w:rPr>
        <w:t>（先用后转、先投后股、先研后付）改革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（二）科技创新和产业创新深度融合改革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1.</w:t>
      </w:r>
      <w:r w:rsidRPr="00005382">
        <w:rPr>
          <w:rFonts w:hAnsi="Calibri"/>
          <w:kern w:val="0"/>
        </w:rPr>
        <w:t>完善</w:t>
      </w:r>
      <w:r w:rsidRPr="00005382">
        <w:rPr>
          <w:rFonts w:hAnsi="Calibri" w:hint="eastAsia"/>
          <w:kern w:val="0"/>
        </w:rPr>
        <w:t>“</w:t>
      </w:r>
      <w:r w:rsidRPr="00005382">
        <w:rPr>
          <w:rFonts w:hAnsi="Calibri"/>
          <w:kern w:val="0"/>
        </w:rPr>
        <w:t>四题一评</w:t>
      </w:r>
      <w:r w:rsidRPr="00005382">
        <w:rPr>
          <w:rFonts w:hAnsi="Calibri" w:hint="eastAsia"/>
          <w:kern w:val="0"/>
        </w:rPr>
        <w:t>”</w:t>
      </w:r>
      <w:r w:rsidRPr="00005382">
        <w:rPr>
          <w:rFonts w:hAnsi="Calibri"/>
          <w:kern w:val="0"/>
        </w:rPr>
        <w:t>协同攻关机制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2.</w:t>
      </w:r>
      <w:r w:rsidRPr="00005382">
        <w:rPr>
          <w:rFonts w:hAnsi="Calibri"/>
          <w:kern w:val="0"/>
        </w:rPr>
        <w:t>完善</w:t>
      </w:r>
      <w:r w:rsidRPr="00005382">
        <w:rPr>
          <w:rFonts w:hAnsi="Calibri" w:hint="eastAsia"/>
          <w:kern w:val="0"/>
        </w:rPr>
        <w:t>“</w:t>
      </w:r>
      <w:r w:rsidRPr="00005382">
        <w:rPr>
          <w:rFonts w:hAnsi="Calibri"/>
          <w:kern w:val="0"/>
        </w:rPr>
        <w:t>平台+高校+企业+产业链</w:t>
      </w:r>
      <w:r w:rsidRPr="00005382">
        <w:rPr>
          <w:rFonts w:hAnsi="Calibri" w:hint="eastAsia"/>
          <w:kern w:val="0"/>
        </w:rPr>
        <w:t>”</w:t>
      </w:r>
      <w:r w:rsidRPr="00005382">
        <w:rPr>
          <w:rFonts w:hAnsi="Calibri"/>
          <w:kern w:val="0"/>
        </w:rPr>
        <w:t>结对合作机制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3.</w:t>
      </w:r>
      <w:r w:rsidRPr="00005382">
        <w:rPr>
          <w:rFonts w:hAnsi="Calibri"/>
          <w:kern w:val="0"/>
        </w:rPr>
        <w:t>健全科创型企业梯度培育体系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4.</w:t>
      </w:r>
      <w:r w:rsidRPr="00005382">
        <w:rPr>
          <w:rFonts w:hAnsi="Calibri"/>
          <w:kern w:val="0"/>
        </w:rPr>
        <w:t>推进科技服务业高质量发展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/>
          <w:kern w:val="0"/>
        </w:rPr>
        <w:t>5.</w:t>
      </w:r>
      <w:r w:rsidRPr="00005382">
        <w:rPr>
          <w:rFonts w:hAnsi="Calibri"/>
          <w:kern w:val="0"/>
        </w:rPr>
        <w:t>高水平建设科技型企业孵化器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（三）建立健全打造大宗商品资源配置枢纽体制机制改革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1.</w:t>
      </w:r>
      <w:r w:rsidRPr="00005382">
        <w:rPr>
          <w:rFonts w:hAnsi="Calibri" w:hint="eastAsia"/>
          <w:kern w:val="0"/>
        </w:rPr>
        <w:t>深化大宗商品贸易交易改革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深化大宗商品储运加工机制改革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深化海事服务改革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深化金融赋能大宗商品枢纽改革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 w:hint="eastAsia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（四）深化义乌国际贸易综合改革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lastRenderedPageBreak/>
        <w:t>1.</w:t>
      </w:r>
      <w:r w:rsidRPr="00005382">
        <w:rPr>
          <w:rFonts w:hAnsi="Calibri" w:hint="eastAsia"/>
          <w:kern w:val="0"/>
        </w:rPr>
        <w:t>进口消费品正面清单提质扩量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2.</w:t>
      </w:r>
      <w:r w:rsidRPr="00005382">
        <w:rPr>
          <w:rFonts w:hAnsi="Calibri" w:hint="eastAsia"/>
          <w:kern w:val="0"/>
        </w:rPr>
        <w:t>打造全球数贸高地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3.</w:t>
      </w:r>
      <w:r w:rsidRPr="00005382">
        <w:rPr>
          <w:rFonts w:hAnsi="Calibri" w:hint="eastAsia"/>
          <w:kern w:val="0"/>
        </w:rPr>
        <w:t>中欧班列市场化运营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 w:hint="eastAsia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（五）完善建设世界一流强港和交通强省体制机制改革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1.</w:t>
      </w:r>
      <w:r w:rsidRPr="00005382">
        <w:rPr>
          <w:rFonts w:hAnsi="Calibri" w:hint="eastAsia"/>
          <w:kern w:val="0"/>
        </w:rPr>
        <w:t>世界一流强港改革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/>
          <w:kern w:val="0"/>
        </w:rPr>
        <w:t>2.</w:t>
      </w:r>
      <w:r w:rsidRPr="00005382">
        <w:rPr>
          <w:rFonts w:hAnsi="Calibri" w:hint="eastAsia"/>
          <w:kern w:val="0"/>
        </w:rPr>
        <w:t>航运服务业高质量发展集聚区建设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中欧班列集结中心建设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民航强省和低空经济发展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5.</w:t>
      </w:r>
      <w:r w:rsidRPr="00005382">
        <w:rPr>
          <w:rFonts w:hAnsi="Calibri" w:hint="eastAsia"/>
          <w:kern w:val="0"/>
        </w:rPr>
        <w:t>多式联运改革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（六）优化开放环境“服务最优成本最低效率最高”改革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货物进出便利化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资金进出便利化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数据流动安全有序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推动三个“一体联动”（贸易和投资一体联动、对外投资和招商引资一体联动、内外贸一体联动）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（七）健全“直播+平台+跨境电商”三位一体融合发展机制改革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跨境电商+海外仓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平台与政府间的数据共享、风险共治、标准共商等深度合作机制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跨境电商海外合规体系建设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（八）重大项目建设要素保障机制改革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lastRenderedPageBreak/>
        <w:t>1.</w:t>
      </w:r>
      <w:r w:rsidRPr="00005382">
        <w:rPr>
          <w:rFonts w:hAnsi="Calibri" w:hint="eastAsia"/>
          <w:kern w:val="0"/>
        </w:rPr>
        <w:t>持续迭代完善“项目+财力+风险”机制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“要素服务保障清单”改革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完善民间投资参与重大项目建设机制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（九）优化营商环境改革（重点聚焦创新生态建设、持续推进招投标领域治理改革）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深化省招投标智慧监管监督系统和AI招投标应用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构建环大学大科创平台创新生态圈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推进国家数据要素综合试验区建设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深化区域金融改革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5.</w:t>
      </w:r>
      <w:r w:rsidRPr="00005382">
        <w:rPr>
          <w:rFonts w:hAnsi="Calibri" w:hint="eastAsia"/>
          <w:kern w:val="0"/>
        </w:rPr>
        <w:t>建立完善场景培育和开放机制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（十）城乡融合体制机制改革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乡村片区组团发展改革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中心镇强镇扩权改革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城市更新集成改革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（十一）深化基本公共服务一体化改革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医疗卫生人才“县乡村一体化”管理改革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建立多层次长期护理保障体系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医保省级统筹改革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县域特困人员“一院供养”改革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（十二）“扩中提低”和收入分配制度改革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完善高质量充分就业创业体制机制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完善共富型大社保体系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lastRenderedPageBreak/>
        <w:t>3.</w:t>
      </w:r>
      <w:r w:rsidRPr="00005382">
        <w:rPr>
          <w:rFonts w:hAnsi="Calibri" w:hint="eastAsia"/>
          <w:kern w:val="0"/>
        </w:rPr>
        <w:t>构建公共服务一体化体系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低收入群体帮扶精准直达机制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（十三）“文化+旅游”“文化+科技”深度融合发展体制机制改革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健全文旅消费扩容提升机制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文化“新三样”出海综合改革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文化科技融合创新改革</w:t>
      </w:r>
    </w:p>
    <w:p w:rsidR="00005382" w:rsidRPr="00005382" w:rsidRDefault="00005382" w:rsidP="00005382">
      <w:pPr>
        <w:ind w:firstLine="620"/>
        <w:contextualSpacing/>
        <w:rPr>
          <w:rFonts w:ascii="黑体" w:eastAsia="黑体" w:hAnsi="黑体"/>
          <w:kern w:val="0"/>
        </w:rPr>
      </w:pPr>
      <w:r w:rsidRPr="00005382">
        <w:rPr>
          <w:rFonts w:ascii="黑体" w:eastAsia="黑体" w:hAnsi="黑体" w:hint="eastAsia"/>
          <w:kern w:val="0"/>
        </w:rPr>
        <w:t>二、地方先行探索重大改革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 w:hint="eastAsia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（一）打造人工智能创新发展高地改革（杭州市、宁波市）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建设开源开放生态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实施“人工智能+”行动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推进人工智能制度创新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（二）打造引领消费转型升级高地改革（杭州市、宁波市、温州市、金华市、义乌市）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t>1.</w:t>
      </w:r>
      <w:r w:rsidRPr="00005382">
        <w:rPr>
          <w:rFonts w:hAnsi="Calibri" w:hint="eastAsia"/>
          <w:kern w:val="0"/>
        </w:rPr>
        <w:t>推广实施“数智消费”集成改革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首发经济生态体系改革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打造一批消费“三新”（新业态新模式新场景）促进消费高质量发展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推进“农商文旅体”深度融合改革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5.</w:t>
      </w:r>
      <w:r w:rsidRPr="00005382">
        <w:rPr>
          <w:rFonts w:hAnsi="Calibri" w:hint="eastAsia"/>
          <w:kern w:val="0"/>
        </w:rPr>
        <w:t>创新管理体系护航消费健康发展</w:t>
      </w:r>
    </w:p>
    <w:p w:rsidR="00005382" w:rsidRPr="00005382" w:rsidRDefault="00005382" w:rsidP="00005382">
      <w:pPr>
        <w:ind w:firstLine="620"/>
        <w:contextualSpacing/>
        <w:rPr>
          <w:rFonts w:ascii="楷体" w:eastAsia="楷体" w:hAnsi="楷体"/>
          <w:bCs w:val="0"/>
          <w:kern w:val="0"/>
        </w:rPr>
      </w:pPr>
      <w:r w:rsidRPr="00005382">
        <w:rPr>
          <w:rFonts w:ascii="楷体" w:eastAsia="楷体" w:hAnsi="楷体" w:hint="eastAsia"/>
          <w:bCs w:val="0"/>
          <w:kern w:val="0"/>
        </w:rPr>
        <w:t>（三）低碳（零碳）建设体制机制改革（杭州市钱塘区、宁波市北仑区、温岭市）</w:t>
      </w:r>
    </w:p>
    <w:p w:rsidR="00005382" w:rsidRPr="00005382" w:rsidRDefault="00005382" w:rsidP="00005382">
      <w:pPr>
        <w:ind w:firstLine="620"/>
        <w:contextualSpacing/>
        <w:rPr>
          <w:rFonts w:hAnsi="Calibri" w:hint="eastAsia"/>
          <w:kern w:val="0"/>
        </w:rPr>
      </w:pPr>
      <w:r w:rsidRPr="00005382">
        <w:rPr>
          <w:rFonts w:ascii="Times New Roman" w:hint="eastAsia"/>
          <w:kern w:val="0"/>
        </w:rPr>
        <w:lastRenderedPageBreak/>
        <w:t>1.</w:t>
      </w:r>
      <w:r w:rsidRPr="00005382">
        <w:rPr>
          <w:rFonts w:hAnsi="Calibri" w:hint="eastAsia"/>
          <w:kern w:val="0"/>
        </w:rPr>
        <w:t>优化产业结构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2.</w:t>
      </w:r>
      <w:r w:rsidRPr="00005382">
        <w:rPr>
          <w:rFonts w:hAnsi="Calibri" w:hint="eastAsia"/>
          <w:kern w:val="0"/>
        </w:rPr>
        <w:t>优化能源结构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3.</w:t>
      </w:r>
      <w:r w:rsidRPr="00005382">
        <w:rPr>
          <w:rFonts w:hAnsi="Calibri" w:hint="eastAsia"/>
          <w:kern w:val="0"/>
        </w:rPr>
        <w:t>优化交通运输结构</w:t>
      </w:r>
    </w:p>
    <w:p w:rsidR="00005382" w:rsidRPr="00005382" w:rsidRDefault="00005382" w:rsidP="00005382">
      <w:pPr>
        <w:ind w:firstLine="620"/>
        <w:contextualSpacing/>
        <w:rPr>
          <w:rFonts w:hAnsi="Calibri"/>
          <w:kern w:val="0"/>
        </w:rPr>
      </w:pPr>
      <w:r w:rsidRPr="00005382">
        <w:rPr>
          <w:rFonts w:ascii="Times New Roman" w:hint="eastAsia"/>
          <w:kern w:val="0"/>
        </w:rPr>
        <w:t>4.</w:t>
      </w:r>
      <w:r w:rsidRPr="00005382">
        <w:rPr>
          <w:rFonts w:hAnsi="Calibri" w:hint="eastAsia"/>
          <w:kern w:val="0"/>
        </w:rPr>
        <w:t>提升生态环境治理能力水平</w:t>
      </w:r>
    </w:p>
    <w:p w:rsidR="007A3036" w:rsidRPr="00F74533" w:rsidRDefault="007A3036" w:rsidP="00534BDC">
      <w:pPr>
        <w:overflowPunct/>
        <w:snapToGrid w:val="0"/>
        <w:spacing w:beforeLines="50" w:before="156" w:afterLines="50" w:after="156"/>
        <w:ind w:firstLineChars="0" w:firstLine="0"/>
        <w:jc w:val="left"/>
        <w:rPr>
          <w:rFonts w:hAnsi="仿宋"/>
          <w:sz w:val="28"/>
          <w:szCs w:val="28"/>
        </w:rPr>
      </w:pPr>
    </w:p>
    <w:sectPr w:rsidR="007A3036" w:rsidRPr="00F74533" w:rsidSect="00534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2DEB" w:rsidRDefault="00D12DEB" w:rsidP="004A570A">
      <w:pPr>
        <w:ind w:firstLine="640"/>
      </w:pPr>
      <w:r>
        <w:separator/>
      </w:r>
    </w:p>
  </w:endnote>
  <w:endnote w:type="continuationSeparator" w:id="0">
    <w:p w:rsidR="00D12DEB" w:rsidRDefault="00D12DEB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DF3712" w:rsidRDefault="00DF3712" w:rsidP="00DF3712">
    <w:pPr>
      <w:pStyle w:val="a4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1B36" w:rsidRPr="00DF3712" w:rsidRDefault="00DF3712" w:rsidP="00DF3712">
    <w:pPr>
      <w:pStyle w:val="a4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2DEB" w:rsidRDefault="00D12DEB" w:rsidP="004A570A">
      <w:pPr>
        <w:ind w:firstLine="640"/>
      </w:pPr>
      <w:r>
        <w:separator/>
      </w:r>
    </w:p>
  </w:footnote>
  <w:footnote w:type="continuationSeparator" w:id="0">
    <w:p w:rsidR="00D12DEB" w:rsidRDefault="00D12DEB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912F5A" w:rsidRDefault="00DF3712" w:rsidP="00912F5A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6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2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1"/>
  </w:num>
  <w:num w:numId="2" w16cid:durableId="836191985">
    <w:abstractNumId w:val="12"/>
  </w:num>
  <w:num w:numId="3" w16cid:durableId="504055000">
    <w:abstractNumId w:val="22"/>
  </w:num>
  <w:num w:numId="4" w16cid:durableId="1113016885">
    <w:abstractNumId w:val="11"/>
  </w:num>
  <w:num w:numId="5" w16cid:durableId="505480613">
    <w:abstractNumId w:val="10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4"/>
  </w:num>
  <w:num w:numId="11" w16cid:durableId="1602031332">
    <w:abstractNumId w:val="7"/>
  </w:num>
  <w:num w:numId="12" w16cid:durableId="2126654501">
    <w:abstractNumId w:val="15"/>
  </w:num>
  <w:num w:numId="13" w16cid:durableId="167062613">
    <w:abstractNumId w:val="16"/>
  </w:num>
  <w:num w:numId="14" w16cid:durableId="725837461">
    <w:abstractNumId w:val="4"/>
  </w:num>
  <w:num w:numId="15" w16cid:durableId="817376893">
    <w:abstractNumId w:val="18"/>
  </w:num>
  <w:num w:numId="16" w16cid:durableId="443353222">
    <w:abstractNumId w:val="8"/>
  </w:num>
  <w:num w:numId="17" w16cid:durableId="1217275048">
    <w:abstractNumId w:val="9"/>
  </w:num>
  <w:num w:numId="18" w16cid:durableId="137752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0"/>
  </w:num>
  <w:num w:numId="20" w16cid:durableId="905267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3"/>
  </w:num>
  <w:num w:numId="23" w16cid:durableId="39528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382"/>
    <w:rsid w:val="00005E8F"/>
    <w:rsid w:val="00017642"/>
    <w:rsid w:val="000202A8"/>
    <w:rsid w:val="00030FC8"/>
    <w:rsid w:val="00042B94"/>
    <w:rsid w:val="0004574C"/>
    <w:rsid w:val="0005104A"/>
    <w:rsid w:val="00052287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2043EE"/>
    <w:rsid w:val="00204FDE"/>
    <w:rsid w:val="0022548E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4E6D"/>
    <w:rsid w:val="004C6AD4"/>
    <w:rsid w:val="004D3637"/>
    <w:rsid w:val="004D7C25"/>
    <w:rsid w:val="004F01C8"/>
    <w:rsid w:val="005007DD"/>
    <w:rsid w:val="00515C9E"/>
    <w:rsid w:val="005173AD"/>
    <w:rsid w:val="005204B6"/>
    <w:rsid w:val="00534ACC"/>
    <w:rsid w:val="00534BD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6F4D15"/>
    <w:rsid w:val="007203AD"/>
    <w:rsid w:val="0073301B"/>
    <w:rsid w:val="00745F72"/>
    <w:rsid w:val="00752886"/>
    <w:rsid w:val="00754892"/>
    <w:rsid w:val="00763BFD"/>
    <w:rsid w:val="00763CBD"/>
    <w:rsid w:val="007651F6"/>
    <w:rsid w:val="0077033A"/>
    <w:rsid w:val="00773249"/>
    <w:rsid w:val="00780F73"/>
    <w:rsid w:val="00781E05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7ADB"/>
    <w:rsid w:val="009F0440"/>
    <w:rsid w:val="00A14330"/>
    <w:rsid w:val="00A17447"/>
    <w:rsid w:val="00A20645"/>
    <w:rsid w:val="00A27EDF"/>
    <w:rsid w:val="00A36E1D"/>
    <w:rsid w:val="00A54557"/>
    <w:rsid w:val="00A642E5"/>
    <w:rsid w:val="00A66CB5"/>
    <w:rsid w:val="00A67F8B"/>
    <w:rsid w:val="00A706CA"/>
    <w:rsid w:val="00A77A79"/>
    <w:rsid w:val="00A77DD0"/>
    <w:rsid w:val="00A83600"/>
    <w:rsid w:val="00A9729B"/>
    <w:rsid w:val="00AA136B"/>
    <w:rsid w:val="00AB7426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1F9E"/>
    <w:rsid w:val="00B0447F"/>
    <w:rsid w:val="00B05A01"/>
    <w:rsid w:val="00B05B46"/>
    <w:rsid w:val="00B11E9A"/>
    <w:rsid w:val="00B13906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3D9D"/>
    <w:rsid w:val="00BC7FC2"/>
    <w:rsid w:val="00BD0641"/>
    <w:rsid w:val="00BD2C83"/>
    <w:rsid w:val="00BF1A43"/>
    <w:rsid w:val="00BF5567"/>
    <w:rsid w:val="00BF7627"/>
    <w:rsid w:val="00C0441D"/>
    <w:rsid w:val="00C21374"/>
    <w:rsid w:val="00C2164F"/>
    <w:rsid w:val="00C24751"/>
    <w:rsid w:val="00C25564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12DEB"/>
    <w:rsid w:val="00D313EA"/>
    <w:rsid w:val="00D3267F"/>
    <w:rsid w:val="00D40611"/>
    <w:rsid w:val="00D44B5E"/>
    <w:rsid w:val="00D508E0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0F00"/>
    <w:rsid w:val="00DF3712"/>
    <w:rsid w:val="00DF733B"/>
    <w:rsid w:val="00E07FB2"/>
    <w:rsid w:val="00E261E9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55AA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9A835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2026-03-13T03:15:00Z</cp:lastPrinted>
  <dcterms:created xsi:type="dcterms:W3CDTF">2026-03-13T03:22:00Z</dcterms:created>
  <dcterms:modified xsi:type="dcterms:W3CDTF">2026-03-13T03:22:00Z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