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BEC1F" w14:textId="77777777" w:rsidR="00224E39" w:rsidRPr="00224E39" w:rsidRDefault="00224E39" w:rsidP="00224E39">
      <w:pPr>
        <w:tabs>
          <w:tab w:val="left" w:pos="6345"/>
        </w:tabs>
        <w:rPr>
          <w:rFonts w:ascii="黑体" w:eastAsia="黑体" w:hAnsi="黑体"/>
          <w:sz w:val="24"/>
        </w:rPr>
      </w:pPr>
      <w:r w:rsidRPr="00224E39">
        <w:rPr>
          <w:rFonts w:ascii="黑体" w:eastAsia="黑体" w:hAnsi="黑体" w:hint="eastAsia"/>
          <w:szCs w:val="32"/>
        </w:rPr>
        <w:t>附件</w:t>
      </w:r>
    </w:p>
    <w:p w14:paraId="1B0BEC20" w14:textId="0A966930" w:rsidR="00224E39" w:rsidRPr="00224E39" w:rsidRDefault="00CF6053" w:rsidP="00224E39">
      <w:pPr>
        <w:tabs>
          <w:tab w:val="left" w:pos="6345"/>
        </w:tabs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202</w:t>
      </w:r>
      <w:r>
        <w:rPr>
          <w:rFonts w:ascii="方正小标宋简体" w:eastAsia="方正小标宋简体" w:hAnsi="华文中宋"/>
          <w:sz w:val="44"/>
          <w:szCs w:val="44"/>
        </w:rPr>
        <w:t>3</w:t>
      </w:r>
      <w:r w:rsidR="00224E39" w:rsidRPr="00224E39">
        <w:rPr>
          <w:rFonts w:ascii="方正小标宋简体" w:eastAsia="方正小标宋简体" w:hAnsi="华文中宋" w:hint="eastAsia"/>
          <w:sz w:val="44"/>
          <w:szCs w:val="44"/>
        </w:rPr>
        <w:t>年度省社科联研究课题立项名单</w:t>
      </w:r>
    </w:p>
    <w:p w14:paraId="1B0BEC21" w14:textId="033E6CC4" w:rsidR="00224E39" w:rsidRPr="00224E39" w:rsidRDefault="00224E39" w:rsidP="00224E39">
      <w:pPr>
        <w:tabs>
          <w:tab w:val="left" w:pos="6345"/>
        </w:tabs>
        <w:jc w:val="left"/>
        <w:rPr>
          <w:rFonts w:ascii="黑体" w:eastAsia="黑体" w:hAnsi="黑体"/>
          <w:sz w:val="44"/>
          <w:szCs w:val="44"/>
        </w:rPr>
      </w:pPr>
      <w:r w:rsidRPr="00224E39">
        <w:rPr>
          <w:rFonts w:ascii="黑体" w:eastAsia="黑体" w:hAnsi="黑体" w:hint="eastAsia"/>
          <w:szCs w:val="32"/>
        </w:rPr>
        <w:t>一、年度课题</w:t>
      </w:r>
    </w:p>
    <w:tbl>
      <w:tblPr>
        <w:tblW w:w="85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2971"/>
        <w:gridCol w:w="1129"/>
        <w:gridCol w:w="1702"/>
        <w:gridCol w:w="1275"/>
      </w:tblGrid>
      <w:tr w:rsidR="000D16A5" w:rsidRPr="00224E39" w14:paraId="1B0BEC28" w14:textId="77777777" w:rsidTr="00CF6053">
        <w:trPr>
          <w:cantSplit/>
          <w:trHeight w:val="690"/>
          <w:tblHeader/>
        </w:trPr>
        <w:tc>
          <w:tcPr>
            <w:tcW w:w="1429" w:type="dxa"/>
            <w:noWrap/>
            <w:vAlign w:val="center"/>
            <w:hideMark/>
          </w:tcPr>
          <w:p w14:paraId="1B0BEC22" w14:textId="77777777" w:rsidR="000D16A5" w:rsidRPr="00CF6053" w:rsidRDefault="000D16A5" w:rsidP="00224E39">
            <w:pPr>
              <w:tabs>
                <w:tab w:val="left" w:pos="6345"/>
              </w:tabs>
              <w:overflowPunct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8"/>
              </w:rPr>
            </w:pPr>
            <w:r w:rsidRPr="00CF6053">
              <w:rPr>
                <w:rFonts w:ascii="黑体" w:eastAsia="黑体" w:hAnsi="黑体" w:hint="eastAsia"/>
                <w:b/>
                <w:bCs/>
                <w:sz w:val="24"/>
                <w:szCs w:val="28"/>
              </w:rPr>
              <w:t>课题编号</w:t>
            </w:r>
          </w:p>
        </w:tc>
        <w:tc>
          <w:tcPr>
            <w:tcW w:w="2971" w:type="dxa"/>
            <w:vAlign w:val="center"/>
            <w:hideMark/>
          </w:tcPr>
          <w:p w14:paraId="1B0BEC23" w14:textId="77777777" w:rsidR="000D16A5" w:rsidRPr="00CF6053" w:rsidRDefault="000D16A5" w:rsidP="00224E39">
            <w:pPr>
              <w:tabs>
                <w:tab w:val="left" w:pos="6345"/>
              </w:tabs>
              <w:overflowPunct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CF6053">
              <w:rPr>
                <w:rFonts w:ascii="黑体" w:eastAsia="黑体" w:hAnsi="黑体" w:hint="eastAsia"/>
                <w:b/>
                <w:sz w:val="24"/>
                <w:szCs w:val="28"/>
              </w:rPr>
              <w:t>项目名称</w:t>
            </w:r>
          </w:p>
        </w:tc>
        <w:tc>
          <w:tcPr>
            <w:tcW w:w="1129" w:type="dxa"/>
            <w:vAlign w:val="center"/>
            <w:hideMark/>
          </w:tcPr>
          <w:p w14:paraId="1B0BEC24" w14:textId="77777777" w:rsidR="000D16A5" w:rsidRPr="00CF6053" w:rsidRDefault="000D16A5" w:rsidP="00224E39">
            <w:pPr>
              <w:tabs>
                <w:tab w:val="left" w:pos="6345"/>
              </w:tabs>
              <w:overflowPunct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CF6053">
              <w:rPr>
                <w:rFonts w:ascii="黑体" w:eastAsia="黑体" w:hAnsi="黑体" w:hint="eastAsia"/>
                <w:b/>
                <w:sz w:val="24"/>
                <w:szCs w:val="28"/>
              </w:rPr>
              <w:t>负责人</w:t>
            </w:r>
          </w:p>
        </w:tc>
        <w:tc>
          <w:tcPr>
            <w:tcW w:w="1702" w:type="dxa"/>
            <w:vAlign w:val="center"/>
            <w:hideMark/>
          </w:tcPr>
          <w:p w14:paraId="1B0BEC25" w14:textId="77777777" w:rsidR="000D16A5" w:rsidRPr="00CF6053" w:rsidRDefault="000D16A5" w:rsidP="00224E39">
            <w:pPr>
              <w:tabs>
                <w:tab w:val="left" w:pos="6345"/>
              </w:tabs>
              <w:overflowPunct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CF6053">
              <w:rPr>
                <w:rFonts w:ascii="黑体" w:eastAsia="黑体" w:hAnsi="黑体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1275" w:type="dxa"/>
            <w:vAlign w:val="center"/>
            <w:hideMark/>
          </w:tcPr>
          <w:p w14:paraId="1B0BEC27" w14:textId="77777777" w:rsidR="000D16A5" w:rsidRPr="00CF6053" w:rsidRDefault="000D16A5" w:rsidP="00224E39">
            <w:pPr>
              <w:tabs>
                <w:tab w:val="left" w:pos="6345"/>
              </w:tabs>
              <w:overflowPunct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CF6053">
              <w:rPr>
                <w:rFonts w:ascii="黑体" w:eastAsia="黑体" w:hAnsi="黑体" w:hint="eastAsia"/>
                <w:b/>
                <w:sz w:val="24"/>
                <w:szCs w:val="28"/>
              </w:rPr>
              <w:t>预期成果</w:t>
            </w:r>
          </w:p>
        </w:tc>
      </w:tr>
      <w:tr w:rsidR="000D16A5" w:rsidRPr="00224E39" w14:paraId="1B0BEC2F" w14:textId="77777777" w:rsidTr="00CF6053">
        <w:trPr>
          <w:cantSplit/>
          <w:trHeight w:val="570"/>
        </w:trPr>
        <w:tc>
          <w:tcPr>
            <w:tcW w:w="1429" w:type="dxa"/>
            <w:noWrap/>
            <w:vAlign w:val="center"/>
            <w:hideMark/>
          </w:tcPr>
          <w:p w14:paraId="1B0BEC29" w14:textId="741E7AD9" w:rsidR="000D16A5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 w:hint="eastAsia"/>
                <w:szCs w:val="32"/>
              </w:rPr>
              <w:t>2023N002</w:t>
            </w:r>
          </w:p>
        </w:tc>
        <w:tc>
          <w:tcPr>
            <w:tcW w:w="2971" w:type="dxa"/>
            <w:vAlign w:val="center"/>
            <w:hideMark/>
          </w:tcPr>
          <w:p w14:paraId="1B0BEC2A" w14:textId="31C71775" w:rsidR="000D16A5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 w:hint="eastAsia"/>
                <w:szCs w:val="32"/>
              </w:rPr>
              <w:t>乡村振兴背景下的高质量基层全科医生级联培养体系的研究</w:t>
            </w:r>
          </w:p>
        </w:tc>
        <w:tc>
          <w:tcPr>
            <w:tcW w:w="1129" w:type="dxa"/>
            <w:vAlign w:val="center"/>
            <w:hideMark/>
          </w:tcPr>
          <w:p w14:paraId="1B0BEC2B" w14:textId="282415A9" w:rsidR="000D16A5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 w:hint="eastAsia"/>
                <w:szCs w:val="32"/>
              </w:rPr>
              <w:t>方力争</w:t>
            </w:r>
          </w:p>
        </w:tc>
        <w:tc>
          <w:tcPr>
            <w:tcW w:w="1702" w:type="dxa"/>
            <w:vAlign w:val="center"/>
            <w:hideMark/>
          </w:tcPr>
          <w:p w14:paraId="1B0BEC2C" w14:textId="151E2E96" w:rsidR="000D16A5" w:rsidRPr="00CF6053" w:rsidRDefault="00CF6053" w:rsidP="00D12550">
            <w:pPr>
              <w:tabs>
                <w:tab w:val="left" w:pos="6345"/>
              </w:tabs>
              <w:overflowPunct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32"/>
              </w:rPr>
            </w:pPr>
            <w:r w:rsidRPr="00CF6053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32"/>
              </w:rPr>
              <w:t>医学院--附属邵逸夫医院</w:t>
            </w:r>
          </w:p>
        </w:tc>
        <w:tc>
          <w:tcPr>
            <w:tcW w:w="1275" w:type="dxa"/>
            <w:vAlign w:val="center"/>
            <w:hideMark/>
          </w:tcPr>
          <w:p w14:paraId="1B0BEC2E" w14:textId="77777777" w:rsidR="000D16A5" w:rsidRPr="00CF6053" w:rsidRDefault="000D16A5" w:rsidP="00D12550">
            <w:pPr>
              <w:tabs>
                <w:tab w:val="left" w:pos="6345"/>
              </w:tabs>
              <w:overflowPunct w:val="0"/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CF6053">
              <w:rPr>
                <w:rFonts w:ascii="仿宋_GB2312" w:eastAsia="仿宋_GB2312" w:hAnsiTheme="minorEastAsia" w:hint="eastAsia"/>
                <w:sz w:val="24"/>
                <w:szCs w:val="32"/>
              </w:rPr>
              <w:t>论文</w:t>
            </w:r>
          </w:p>
        </w:tc>
      </w:tr>
      <w:tr w:rsidR="000D16A5" w:rsidRPr="00224E39" w14:paraId="1B0BEC36" w14:textId="77777777" w:rsidTr="00CF6053">
        <w:trPr>
          <w:cantSplit/>
          <w:trHeight w:val="570"/>
        </w:trPr>
        <w:tc>
          <w:tcPr>
            <w:tcW w:w="1429" w:type="dxa"/>
            <w:noWrap/>
            <w:vAlign w:val="center"/>
            <w:hideMark/>
          </w:tcPr>
          <w:p w14:paraId="1B0BEC30" w14:textId="33DF7479" w:rsidR="000D16A5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bookmarkStart w:id="0" w:name="_GoBack"/>
            <w:r w:rsidRPr="00CF6053">
              <w:rPr>
                <w:rFonts w:ascii="仿宋_GB2312" w:eastAsia="仿宋_GB2312" w:hint="eastAsia"/>
                <w:szCs w:val="32"/>
              </w:rPr>
              <w:t>2023N003</w:t>
            </w:r>
          </w:p>
        </w:tc>
        <w:tc>
          <w:tcPr>
            <w:tcW w:w="2971" w:type="dxa"/>
            <w:vAlign w:val="center"/>
            <w:hideMark/>
          </w:tcPr>
          <w:p w14:paraId="1B0BEC31" w14:textId="077F09C7" w:rsidR="000D16A5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 w:hint="eastAsia"/>
                <w:szCs w:val="32"/>
              </w:rPr>
              <w:t>供给侧改革下产能化解对企业劳动配置结构及其效率的影响研究</w:t>
            </w:r>
          </w:p>
        </w:tc>
        <w:tc>
          <w:tcPr>
            <w:tcW w:w="1129" w:type="dxa"/>
            <w:vAlign w:val="center"/>
            <w:hideMark/>
          </w:tcPr>
          <w:p w14:paraId="1B0BEC32" w14:textId="0F5EE0B0" w:rsidR="000D16A5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 w:hint="eastAsia"/>
                <w:szCs w:val="32"/>
              </w:rPr>
              <w:t>刘 强</w:t>
            </w:r>
          </w:p>
        </w:tc>
        <w:tc>
          <w:tcPr>
            <w:tcW w:w="1702" w:type="dxa"/>
            <w:vAlign w:val="center"/>
            <w:hideMark/>
          </w:tcPr>
          <w:p w14:paraId="1B0BEC33" w14:textId="4A266221" w:rsidR="000D16A5" w:rsidRPr="00CF6053" w:rsidRDefault="00CF6053" w:rsidP="00D12550">
            <w:pPr>
              <w:tabs>
                <w:tab w:val="left" w:pos="6345"/>
              </w:tabs>
              <w:overflowPunct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32"/>
              </w:rPr>
            </w:pPr>
            <w:r w:rsidRPr="00CF6053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32"/>
              </w:rPr>
              <w:t>经济学院</w:t>
            </w:r>
          </w:p>
        </w:tc>
        <w:tc>
          <w:tcPr>
            <w:tcW w:w="1275" w:type="dxa"/>
            <w:vAlign w:val="center"/>
            <w:hideMark/>
          </w:tcPr>
          <w:p w14:paraId="1B0BEC35" w14:textId="77777777" w:rsidR="000D16A5" w:rsidRPr="00CF6053" w:rsidRDefault="000D16A5" w:rsidP="00D12550">
            <w:pPr>
              <w:tabs>
                <w:tab w:val="left" w:pos="6345"/>
              </w:tabs>
              <w:overflowPunct w:val="0"/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32"/>
              </w:rPr>
            </w:pPr>
            <w:r w:rsidRPr="00CF6053">
              <w:rPr>
                <w:rFonts w:ascii="仿宋_GB2312" w:eastAsia="仿宋_GB2312" w:hAnsiTheme="minorEastAsia" w:hint="eastAsia"/>
                <w:sz w:val="24"/>
                <w:szCs w:val="32"/>
              </w:rPr>
              <w:t>论文</w:t>
            </w:r>
          </w:p>
        </w:tc>
      </w:tr>
      <w:bookmarkEnd w:id="0"/>
      <w:tr w:rsidR="000D16A5" w:rsidRPr="00224E39" w14:paraId="1B0BEC3D" w14:textId="77777777" w:rsidTr="00CF6053">
        <w:trPr>
          <w:cantSplit/>
          <w:trHeight w:val="570"/>
        </w:trPr>
        <w:tc>
          <w:tcPr>
            <w:tcW w:w="1429" w:type="dxa"/>
            <w:noWrap/>
            <w:vAlign w:val="center"/>
            <w:hideMark/>
          </w:tcPr>
          <w:p w14:paraId="1B0BEC37" w14:textId="5F62ED34" w:rsidR="000D16A5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 w:hint="eastAsia"/>
                <w:szCs w:val="32"/>
              </w:rPr>
              <w:t>2023N004</w:t>
            </w:r>
          </w:p>
        </w:tc>
        <w:tc>
          <w:tcPr>
            <w:tcW w:w="2971" w:type="dxa"/>
            <w:vAlign w:val="center"/>
            <w:hideMark/>
          </w:tcPr>
          <w:p w14:paraId="1B0BEC38" w14:textId="65F1EB90" w:rsidR="000D16A5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 w:hint="eastAsia"/>
                <w:szCs w:val="32"/>
              </w:rPr>
              <w:t>浙江典型沉浸式文化业态发展研究</w:t>
            </w:r>
          </w:p>
        </w:tc>
        <w:tc>
          <w:tcPr>
            <w:tcW w:w="1129" w:type="dxa"/>
            <w:vAlign w:val="center"/>
            <w:hideMark/>
          </w:tcPr>
          <w:p w14:paraId="1B0BEC39" w14:textId="401A0D67" w:rsidR="000D16A5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 w:hint="eastAsia"/>
                <w:szCs w:val="32"/>
              </w:rPr>
              <w:t>李</w:t>
            </w:r>
            <w:r>
              <w:rPr>
                <w:rFonts w:ascii="仿宋_GB2312" w:eastAsia="仿宋_GB2312"/>
                <w:szCs w:val="32"/>
              </w:rPr>
              <w:t xml:space="preserve"> </w:t>
            </w:r>
            <w:r w:rsidRPr="00CF6053">
              <w:rPr>
                <w:rFonts w:ascii="仿宋_GB2312" w:eastAsia="仿宋_GB2312" w:hint="eastAsia"/>
                <w:szCs w:val="32"/>
              </w:rPr>
              <w:t>典</w:t>
            </w:r>
          </w:p>
        </w:tc>
        <w:tc>
          <w:tcPr>
            <w:tcW w:w="1702" w:type="dxa"/>
            <w:vAlign w:val="center"/>
            <w:hideMark/>
          </w:tcPr>
          <w:p w14:paraId="1B0BEC3A" w14:textId="053F9BFF" w:rsidR="000D16A5" w:rsidRPr="00CF6053" w:rsidRDefault="00CF6053" w:rsidP="00D12550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32"/>
              </w:rPr>
            </w:pPr>
            <w:r w:rsidRPr="00CF6053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32"/>
              </w:rPr>
              <w:t>艺术与考古学院</w:t>
            </w:r>
          </w:p>
        </w:tc>
        <w:tc>
          <w:tcPr>
            <w:tcW w:w="1275" w:type="dxa"/>
            <w:vAlign w:val="center"/>
            <w:hideMark/>
          </w:tcPr>
          <w:p w14:paraId="1B0BEC3C" w14:textId="3BB66E41" w:rsidR="000D16A5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 w:hint="eastAsia"/>
                <w:szCs w:val="32"/>
              </w:rPr>
              <w:t>专著、论文</w:t>
            </w:r>
          </w:p>
        </w:tc>
      </w:tr>
    </w:tbl>
    <w:p w14:paraId="1B0BF021" w14:textId="0CDF42B2" w:rsidR="00224E39" w:rsidRPr="00224E39" w:rsidRDefault="00224E39">
      <w:pPr>
        <w:rPr>
          <w:rFonts w:ascii="黑体" w:eastAsia="黑体" w:hAnsi="黑体"/>
          <w:szCs w:val="32"/>
        </w:rPr>
      </w:pPr>
      <w:r w:rsidRPr="00224E39">
        <w:rPr>
          <w:rFonts w:ascii="黑体" w:eastAsia="黑体" w:hAnsi="黑体" w:hint="eastAsia"/>
          <w:szCs w:val="32"/>
        </w:rPr>
        <w:t>二、立项不资助课题</w:t>
      </w:r>
    </w:p>
    <w:tbl>
      <w:tblPr>
        <w:tblW w:w="85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1134"/>
        <w:gridCol w:w="1701"/>
        <w:gridCol w:w="1276"/>
      </w:tblGrid>
      <w:tr w:rsidR="00B44352" w:rsidRPr="00224E39" w14:paraId="1B0BF1C5" w14:textId="77777777" w:rsidTr="00CF6053">
        <w:trPr>
          <w:cantSplit/>
          <w:trHeight w:val="855"/>
        </w:trPr>
        <w:tc>
          <w:tcPr>
            <w:tcW w:w="1418" w:type="dxa"/>
            <w:noWrap/>
            <w:vAlign w:val="center"/>
          </w:tcPr>
          <w:p w14:paraId="1B0BF1BF" w14:textId="42AA90B1" w:rsidR="00B44352" w:rsidRPr="00CF6053" w:rsidRDefault="00B44352" w:rsidP="00B44352">
            <w:pPr>
              <w:tabs>
                <w:tab w:val="left" w:pos="6345"/>
              </w:tabs>
              <w:overflowPunct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CF6053">
              <w:rPr>
                <w:rFonts w:ascii="黑体" w:eastAsia="黑体" w:hAnsi="黑体" w:hint="eastAsia"/>
                <w:b/>
                <w:sz w:val="24"/>
                <w:szCs w:val="28"/>
              </w:rPr>
              <w:t>课题编号</w:t>
            </w:r>
          </w:p>
        </w:tc>
        <w:tc>
          <w:tcPr>
            <w:tcW w:w="2977" w:type="dxa"/>
            <w:vAlign w:val="center"/>
          </w:tcPr>
          <w:p w14:paraId="1B0BF1C0" w14:textId="247DBED4" w:rsidR="00B44352" w:rsidRPr="00CF6053" w:rsidRDefault="00B44352" w:rsidP="00B44352">
            <w:pPr>
              <w:tabs>
                <w:tab w:val="left" w:pos="6345"/>
              </w:tabs>
              <w:overflowPunct w:val="0"/>
              <w:snapToGrid w:val="0"/>
              <w:rPr>
                <w:rFonts w:ascii="黑体" w:eastAsia="黑体" w:hAnsi="黑体"/>
                <w:b/>
                <w:sz w:val="24"/>
                <w:szCs w:val="28"/>
              </w:rPr>
            </w:pPr>
            <w:r w:rsidRPr="00CF6053">
              <w:rPr>
                <w:rFonts w:ascii="黑体" w:eastAsia="黑体" w:hAnsi="黑体" w:hint="eastAsia"/>
                <w:b/>
                <w:sz w:val="24"/>
                <w:szCs w:val="28"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1B0BF1C1" w14:textId="070E8D68" w:rsidR="00B44352" w:rsidRPr="00CF6053" w:rsidRDefault="00B44352" w:rsidP="00B44352">
            <w:pPr>
              <w:tabs>
                <w:tab w:val="left" w:pos="6345"/>
              </w:tabs>
              <w:overflowPunct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CF6053">
              <w:rPr>
                <w:rFonts w:ascii="黑体" w:eastAsia="黑体" w:hAnsi="黑体" w:hint="eastAsia"/>
                <w:b/>
                <w:sz w:val="24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14:paraId="1B0BF1C2" w14:textId="54537FB5" w:rsidR="00B44352" w:rsidRPr="00CF6053" w:rsidRDefault="00B44352" w:rsidP="00D12550">
            <w:pPr>
              <w:tabs>
                <w:tab w:val="left" w:pos="6345"/>
              </w:tabs>
              <w:overflowPunct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CF6053">
              <w:rPr>
                <w:rFonts w:ascii="黑体" w:eastAsia="黑体" w:hAnsi="黑体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1276" w:type="dxa"/>
            <w:vAlign w:val="center"/>
          </w:tcPr>
          <w:p w14:paraId="1B0BF1C4" w14:textId="2257340C" w:rsidR="00B44352" w:rsidRPr="00CF6053" w:rsidRDefault="00B44352" w:rsidP="00B44352">
            <w:pPr>
              <w:tabs>
                <w:tab w:val="left" w:pos="6345"/>
              </w:tabs>
              <w:overflowPunct w:val="0"/>
              <w:snapToGrid w:val="0"/>
              <w:rPr>
                <w:rFonts w:ascii="黑体" w:eastAsia="黑体" w:hAnsi="黑体"/>
                <w:b/>
                <w:sz w:val="24"/>
                <w:szCs w:val="28"/>
              </w:rPr>
            </w:pPr>
            <w:r w:rsidRPr="00CF6053">
              <w:rPr>
                <w:rFonts w:ascii="黑体" w:eastAsia="黑体" w:hAnsi="黑体" w:hint="eastAsia"/>
                <w:b/>
                <w:sz w:val="24"/>
                <w:szCs w:val="28"/>
              </w:rPr>
              <w:t>预期成果</w:t>
            </w:r>
          </w:p>
        </w:tc>
      </w:tr>
      <w:tr w:rsidR="00B44352" w:rsidRPr="00224E39" w14:paraId="66ED0B9E" w14:textId="77777777" w:rsidTr="00CF6053">
        <w:trPr>
          <w:cantSplit/>
          <w:trHeight w:val="855"/>
        </w:trPr>
        <w:tc>
          <w:tcPr>
            <w:tcW w:w="1418" w:type="dxa"/>
            <w:noWrap/>
            <w:vAlign w:val="center"/>
          </w:tcPr>
          <w:p w14:paraId="124AC9B0" w14:textId="27651D65" w:rsidR="00B44352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/>
                <w:szCs w:val="32"/>
              </w:rPr>
              <w:t>2023B001</w:t>
            </w:r>
          </w:p>
        </w:tc>
        <w:tc>
          <w:tcPr>
            <w:tcW w:w="2977" w:type="dxa"/>
            <w:vAlign w:val="center"/>
          </w:tcPr>
          <w:p w14:paraId="5A28139E" w14:textId="77E697E3" w:rsidR="00B44352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 w:hint="eastAsia"/>
                <w:szCs w:val="32"/>
              </w:rPr>
              <w:t>数字媒体时代高校海外文化传播能力建设研究</w:t>
            </w:r>
          </w:p>
        </w:tc>
        <w:tc>
          <w:tcPr>
            <w:tcW w:w="1134" w:type="dxa"/>
            <w:vAlign w:val="center"/>
          </w:tcPr>
          <w:p w14:paraId="4E857475" w14:textId="152B95DB" w:rsidR="00B44352" w:rsidRPr="00CF6053" w:rsidRDefault="00CF6053" w:rsidP="00CF6053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 w:hint="eastAsia"/>
                <w:szCs w:val="32"/>
              </w:rPr>
              <w:t>李</w:t>
            </w:r>
            <w:r w:rsidRPr="00CF6053">
              <w:rPr>
                <w:rFonts w:ascii="仿宋_GB2312" w:eastAsia="仿宋_GB2312"/>
                <w:szCs w:val="32"/>
              </w:rPr>
              <w:t xml:space="preserve"> </w:t>
            </w:r>
            <w:r w:rsidRPr="00CF6053">
              <w:rPr>
                <w:rFonts w:ascii="仿宋_GB2312" w:eastAsia="仿宋_GB2312" w:hint="eastAsia"/>
                <w:szCs w:val="32"/>
              </w:rPr>
              <w:t>敏</w:t>
            </w:r>
            <w:r w:rsidRPr="00CF6053">
              <w:rPr>
                <w:rFonts w:ascii="仿宋_GB2312" w:eastAsia="仿宋_GB231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0D18118" w14:textId="154F5478" w:rsidR="00B44352" w:rsidRPr="00CF6053" w:rsidRDefault="00CF6053" w:rsidP="00D12550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32"/>
              </w:rPr>
            </w:pPr>
            <w:r w:rsidRPr="00CF6053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32"/>
              </w:rPr>
              <w:t>外事处</w:t>
            </w:r>
          </w:p>
        </w:tc>
        <w:tc>
          <w:tcPr>
            <w:tcW w:w="1276" w:type="dxa"/>
            <w:vAlign w:val="center"/>
          </w:tcPr>
          <w:p w14:paraId="305278B2" w14:textId="0AB3E563" w:rsidR="00B44352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 w:hint="eastAsia"/>
                <w:szCs w:val="32"/>
              </w:rPr>
              <w:t>论文、调研报告</w:t>
            </w:r>
          </w:p>
        </w:tc>
      </w:tr>
      <w:tr w:rsidR="00CF6053" w:rsidRPr="00224E39" w14:paraId="01771DD9" w14:textId="77777777" w:rsidTr="00CF6053">
        <w:trPr>
          <w:cantSplit/>
          <w:trHeight w:val="855"/>
        </w:trPr>
        <w:tc>
          <w:tcPr>
            <w:tcW w:w="1418" w:type="dxa"/>
            <w:noWrap/>
            <w:vAlign w:val="center"/>
          </w:tcPr>
          <w:p w14:paraId="2AD9FA06" w14:textId="6D258514" w:rsidR="00CF6053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/>
                <w:szCs w:val="32"/>
              </w:rPr>
              <w:t>2023B002</w:t>
            </w:r>
          </w:p>
        </w:tc>
        <w:tc>
          <w:tcPr>
            <w:tcW w:w="2977" w:type="dxa"/>
            <w:vAlign w:val="center"/>
          </w:tcPr>
          <w:p w14:paraId="07598C8D" w14:textId="536F44DA" w:rsidR="00CF6053" w:rsidRPr="00CF6053" w:rsidRDefault="00CF6053" w:rsidP="00D12550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 w:hint="eastAsia"/>
                <w:szCs w:val="32"/>
              </w:rPr>
              <w:t>接受美学视域下中国语言文化在法国的影响研究</w:t>
            </w:r>
          </w:p>
        </w:tc>
        <w:tc>
          <w:tcPr>
            <w:tcW w:w="1134" w:type="dxa"/>
            <w:vAlign w:val="center"/>
          </w:tcPr>
          <w:p w14:paraId="1171C4EF" w14:textId="7D1DB68C" w:rsidR="00CF6053" w:rsidRPr="00CF6053" w:rsidRDefault="00CF6053" w:rsidP="00CF6053">
            <w:pPr>
              <w:pStyle w:val="Default"/>
              <w:jc w:val="center"/>
              <w:rPr>
                <w:rFonts w:ascii="仿宋_GB2312" w:eastAsia="仿宋_GB2312" w:hint="eastAsia"/>
                <w:szCs w:val="32"/>
              </w:rPr>
            </w:pPr>
            <w:r w:rsidRPr="00CF6053">
              <w:rPr>
                <w:rFonts w:ascii="仿宋_GB2312" w:eastAsia="仿宋_GB2312" w:hint="eastAsia"/>
                <w:szCs w:val="32"/>
              </w:rPr>
              <w:t>龚君姬</w:t>
            </w:r>
          </w:p>
        </w:tc>
        <w:tc>
          <w:tcPr>
            <w:tcW w:w="1701" w:type="dxa"/>
            <w:vAlign w:val="center"/>
          </w:tcPr>
          <w:p w14:paraId="549CB1C8" w14:textId="69FC7B85" w:rsidR="00CF6053" w:rsidRPr="00CF6053" w:rsidRDefault="00CF6053" w:rsidP="00D12550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32"/>
              </w:rPr>
            </w:pPr>
            <w:r w:rsidRPr="00CF6053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32"/>
              </w:rPr>
              <w:t>传媒与国际文化学院</w:t>
            </w:r>
          </w:p>
        </w:tc>
        <w:tc>
          <w:tcPr>
            <w:tcW w:w="1276" w:type="dxa"/>
            <w:vAlign w:val="center"/>
          </w:tcPr>
          <w:p w14:paraId="1A5D1EE6" w14:textId="797AB885" w:rsidR="00CF6053" w:rsidRPr="00CF6053" w:rsidRDefault="00CF6053" w:rsidP="00D12550">
            <w:pPr>
              <w:tabs>
                <w:tab w:val="left" w:pos="6345"/>
              </w:tabs>
              <w:overflowPunct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32"/>
              </w:rPr>
            </w:pPr>
            <w:r w:rsidRPr="00CF6053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32"/>
              </w:rPr>
              <w:t>论文</w:t>
            </w:r>
          </w:p>
        </w:tc>
      </w:tr>
    </w:tbl>
    <w:p w14:paraId="6104975A" w14:textId="3C589D5C" w:rsidR="007A3036" w:rsidRPr="00CF6053" w:rsidRDefault="007A3036" w:rsidP="00CF6053">
      <w:pPr>
        <w:tabs>
          <w:tab w:val="left" w:pos="6531"/>
        </w:tabs>
        <w:rPr>
          <w:rFonts w:ascii="仿宋" w:hAnsi="仿宋" w:hint="eastAsia"/>
          <w:sz w:val="28"/>
          <w:szCs w:val="28"/>
        </w:rPr>
      </w:pPr>
    </w:p>
    <w:sectPr w:rsidR="007A3036" w:rsidRPr="00CF6053" w:rsidSect="00B4692B">
      <w:footerReference w:type="even" r:id="rId8"/>
      <w:footerReference w:type="default" r:id="rId9"/>
      <w:pgSz w:w="11906" w:h="16838" w:code="9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4F59" w14:textId="77777777" w:rsidR="00B54613" w:rsidRDefault="00B54613" w:rsidP="00042B94">
      <w:r>
        <w:separator/>
      </w:r>
    </w:p>
  </w:endnote>
  <w:endnote w:type="continuationSeparator" w:id="0">
    <w:p w14:paraId="34D14646" w14:textId="77777777" w:rsidR="00B54613" w:rsidRDefault="00B54613" w:rsidP="0004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F22E" w14:textId="16E433CF" w:rsidR="00361BCF" w:rsidRPr="00AC74B6" w:rsidRDefault="00361BCF" w:rsidP="00AC74B6">
    <w:pPr>
      <w:pStyle w:val="a6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Pr="00AC74B6">
      <w:rPr>
        <w:rFonts w:ascii="宋体" w:hAnsi="宋体"/>
        <w:sz w:val="28"/>
        <w:szCs w:val="28"/>
      </w:rPr>
      <w:fldChar w:fldCharType="separate"/>
    </w:r>
    <w:r w:rsidR="00CF6053" w:rsidRPr="00CF6053">
      <w:rPr>
        <w:rFonts w:ascii="宋体" w:hAnsi="宋体"/>
        <w:noProof/>
        <w:sz w:val="28"/>
        <w:szCs w:val="28"/>
        <w:lang w:val="zh-CN"/>
      </w:rPr>
      <w:t>2</w:t>
    </w:r>
    <w:r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F22F" w14:textId="6E7D4B55" w:rsidR="00361BCF" w:rsidRPr="00AC74B6" w:rsidRDefault="00361BCF" w:rsidP="00AC74B6">
    <w:pPr>
      <w:pStyle w:val="a6"/>
      <w:ind w:right="360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Pr="00AC74B6">
      <w:rPr>
        <w:rFonts w:ascii="宋体" w:hAnsi="宋体"/>
        <w:sz w:val="28"/>
        <w:szCs w:val="28"/>
      </w:rPr>
      <w:fldChar w:fldCharType="separate"/>
    </w:r>
    <w:r w:rsidR="00B54613" w:rsidRPr="00B54613">
      <w:rPr>
        <w:rFonts w:ascii="宋体" w:hAnsi="宋体"/>
        <w:noProof/>
        <w:sz w:val="28"/>
        <w:szCs w:val="28"/>
        <w:lang w:val="zh-CN"/>
      </w:rPr>
      <w:t>1</w:t>
    </w:r>
    <w:r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E294E" w14:textId="77777777" w:rsidR="00B54613" w:rsidRDefault="00B54613" w:rsidP="00042B94">
      <w:r>
        <w:separator/>
      </w:r>
    </w:p>
  </w:footnote>
  <w:footnote w:type="continuationSeparator" w:id="0">
    <w:p w14:paraId="5B874A89" w14:textId="77777777" w:rsidR="00B54613" w:rsidRDefault="00B54613" w:rsidP="0004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E"/>
    <w:rsid w:val="00042B94"/>
    <w:rsid w:val="00097C4A"/>
    <w:rsid w:val="000A1D8A"/>
    <w:rsid w:val="000A417F"/>
    <w:rsid w:val="000B02DF"/>
    <w:rsid w:val="000D16A5"/>
    <w:rsid w:val="000E3852"/>
    <w:rsid w:val="000F57AE"/>
    <w:rsid w:val="00140E5C"/>
    <w:rsid w:val="00162EB1"/>
    <w:rsid w:val="001702DF"/>
    <w:rsid w:val="001A6FB2"/>
    <w:rsid w:val="001B635A"/>
    <w:rsid w:val="001B7A79"/>
    <w:rsid w:val="001C1DDF"/>
    <w:rsid w:val="001C33AF"/>
    <w:rsid w:val="001D4DD7"/>
    <w:rsid w:val="001D5D29"/>
    <w:rsid w:val="001E1F54"/>
    <w:rsid w:val="001E5967"/>
    <w:rsid w:val="00224E39"/>
    <w:rsid w:val="002C3E3F"/>
    <w:rsid w:val="002E19BF"/>
    <w:rsid w:val="002F00E0"/>
    <w:rsid w:val="002F0C55"/>
    <w:rsid w:val="002F1640"/>
    <w:rsid w:val="002F3562"/>
    <w:rsid w:val="002F587D"/>
    <w:rsid w:val="00300F2E"/>
    <w:rsid w:val="00340538"/>
    <w:rsid w:val="00361BCF"/>
    <w:rsid w:val="00381733"/>
    <w:rsid w:val="00382317"/>
    <w:rsid w:val="00394C03"/>
    <w:rsid w:val="003A631B"/>
    <w:rsid w:val="003C541E"/>
    <w:rsid w:val="003C7590"/>
    <w:rsid w:val="003F77D7"/>
    <w:rsid w:val="00412A9A"/>
    <w:rsid w:val="00435212"/>
    <w:rsid w:val="004A1C65"/>
    <w:rsid w:val="004A200C"/>
    <w:rsid w:val="005173AD"/>
    <w:rsid w:val="00566D38"/>
    <w:rsid w:val="00570A98"/>
    <w:rsid w:val="00594A16"/>
    <w:rsid w:val="005A2ADA"/>
    <w:rsid w:val="005A5EC2"/>
    <w:rsid w:val="005D0253"/>
    <w:rsid w:val="005E6231"/>
    <w:rsid w:val="00612B3F"/>
    <w:rsid w:val="00615661"/>
    <w:rsid w:val="006A4D93"/>
    <w:rsid w:val="006C4A94"/>
    <w:rsid w:val="006E7503"/>
    <w:rsid w:val="00745F72"/>
    <w:rsid w:val="0077033A"/>
    <w:rsid w:val="00784494"/>
    <w:rsid w:val="007A3036"/>
    <w:rsid w:val="007C69A8"/>
    <w:rsid w:val="007E1486"/>
    <w:rsid w:val="007E71E7"/>
    <w:rsid w:val="007F3BFB"/>
    <w:rsid w:val="008006D2"/>
    <w:rsid w:val="00817DC2"/>
    <w:rsid w:val="008378C0"/>
    <w:rsid w:val="00884311"/>
    <w:rsid w:val="008A713F"/>
    <w:rsid w:val="008B2758"/>
    <w:rsid w:val="009304B5"/>
    <w:rsid w:val="00984FC0"/>
    <w:rsid w:val="009858AF"/>
    <w:rsid w:val="009A093F"/>
    <w:rsid w:val="009A18CC"/>
    <w:rsid w:val="009A1EB6"/>
    <w:rsid w:val="009D1473"/>
    <w:rsid w:val="00A17447"/>
    <w:rsid w:val="00AA3EB7"/>
    <w:rsid w:val="00AC74B6"/>
    <w:rsid w:val="00AD21F6"/>
    <w:rsid w:val="00AD687A"/>
    <w:rsid w:val="00AF7BEE"/>
    <w:rsid w:val="00B302BD"/>
    <w:rsid w:val="00B44352"/>
    <w:rsid w:val="00B4692B"/>
    <w:rsid w:val="00B54613"/>
    <w:rsid w:val="00B650CF"/>
    <w:rsid w:val="00BC7FC2"/>
    <w:rsid w:val="00BE66C5"/>
    <w:rsid w:val="00C41FF1"/>
    <w:rsid w:val="00C4775D"/>
    <w:rsid w:val="00C47A9F"/>
    <w:rsid w:val="00C57F9F"/>
    <w:rsid w:val="00CC7E46"/>
    <w:rsid w:val="00CD0E99"/>
    <w:rsid w:val="00CF0EC8"/>
    <w:rsid w:val="00CF6053"/>
    <w:rsid w:val="00D12550"/>
    <w:rsid w:val="00D313EA"/>
    <w:rsid w:val="00D40611"/>
    <w:rsid w:val="00D536A7"/>
    <w:rsid w:val="00D8594E"/>
    <w:rsid w:val="00D85E88"/>
    <w:rsid w:val="00D86CCC"/>
    <w:rsid w:val="00E07FB2"/>
    <w:rsid w:val="00E26B68"/>
    <w:rsid w:val="00E67393"/>
    <w:rsid w:val="00E843B0"/>
    <w:rsid w:val="00EB1FE0"/>
    <w:rsid w:val="00EC3DC3"/>
    <w:rsid w:val="00F2574D"/>
    <w:rsid w:val="00F260C4"/>
    <w:rsid w:val="00F36E06"/>
    <w:rsid w:val="00F47A69"/>
    <w:rsid w:val="00FB00D0"/>
    <w:rsid w:val="00FB7200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BEC1F"/>
  <w15:chartTrackingRefBased/>
  <w15:docId w15:val="{E29475FF-F93E-48B3-9316-8B7331F1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2B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a5"/>
    <w:uiPriority w:val="99"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042B9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042B94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rsid w:val="00042B94"/>
    <w:rPr>
      <w:sz w:val="18"/>
      <w:szCs w:val="18"/>
    </w:rPr>
  </w:style>
  <w:style w:type="character" w:customStyle="1" w:styleId="a9">
    <w:name w:val="批注框文本 字符"/>
    <w:link w:val="a8"/>
    <w:uiPriority w:val="99"/>
    <w:rsid w:val="00042B94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B02DF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Default">
    <w:name w:val="Default"/>
    <w:rsid w:val="00CF605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D0E6-639C-4E55-8574-86921452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subject/>
  <dc:creator>admin</dc:creator>
  <cp:keywords/>
  <dc:description/>
  <cp:lastModifiedBy>dell</cp:lastModifiedBy>
  <cp:revision>2</cp:revision>
  <cp:lastPrinted>2021-08-30T03:01:00Z</cp:lastPrinted>
  <dcterms:created xsi:type="dcterms:W3CDTF">2022-09-27T08:27:00Z</dcterms:created>
  <dcterms:modified xsi:type="dcterms:W3CDTF">2022-09-27T08:27:00Z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