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B87" w:rsidRPr="0040019B" w:rsidRDefault="00B92B87" w:rsidP="00B92B87">
      <w:pPr>
        <w:pStyle w:val="a8"/>
        <w:widowControl w:val="0"/>
        <w:shd w:val="clear" w:color="auto" w:fill="FFFFFF"/>
        <w:overflowPunct w:val="0"/>
        <w:snapToGrid w:val="0"/>
        <w:spacing w:before="0" w:beforeAutospacing="0" w:after="0" w:afterAutospacing="0" w:line="300" w:lineRule="auto"/>
        <w:jc w:val="center"/>
        <w:textAlignment w:val="baseline"/>
        <w:rPr>
          <w:rFonts w:ascii="方正小标宋简体" w:eastAsia="方正小标宋简体" w:hAnsi="Calibri" w:cs="Times New Roman"/>
          <w:kern w:val="2"/>
          <w:sz w:val="44"/>
          <w:szCs w:val="44"/>
        </w:rPr>
      </w:pPr>
      <w:r w:rsidRPr="0040019B">
        <w:rPr>
          <w:rFonts w:ascii="方正小标宋简体" w:eastAsia="方正小标宋简体" w:hint="eastAsia"/>
          <w:kern w:val="2"/>
          <w:sz w:val="44"/>
          <w:szCs w:val="44"/>
        </w:rPr>
        <w:t>2025年度浙江省哲学社会科学规划</w:t>
      </w:r>
    </w:p>
    <w:p w:rsidR="006E0EB2" w:rsidRPr="0040019B" w:rsidRDefault="00B92B87" w:rsidP="00B92B87">
      <w:pPr>
        <w:jc w:val="center"/>
        <w:rPr>
          <w:rFonts w:ascii="方正小标宋简体" w:eastAsia="方正小标宋简体"/>
          <w:sz w:val="44"/>
          <w:szCs w:val="44"/>
        </w:rPr>
      </w:pPr>
      <w:r w:rsidRPr="0040019B">
        <w:rPr>
          <w:rFonts w:ascii="方正小标宋简体" w:eastAsia="方正小标宋简体" w:hint="eastAsia"/>
          <w:sz w:val="44"/>
          <w:szCs w:val="44"/>
        </w:rPr>
        <w:t>常规课题立项名单</w:t>
      </w:r>
      <w:bookmarkStart w:id="0" w:name="_GoBack"/>
      <w:bookmarkEnd w:id="0"/>
    </w:p>
    <w:tbl>
      <w:tblPr>
        <w:tblStyle w:val="a7"/>
        <w:tblW w:w="0" w:type="auto"/>
        <w:jc w:val="center"/>
        <w:tblLook w:val="04A0" w:firstRow="1" w:lastRow="0" w:firstColumn="1" w:lastColumn="0" w:noHBand="0" w:noVBand="1"/>
      </w:tblPr>
      <w:tblGrid>
        <w:gridCol w:w="591"/>
        <w:gridCol w:w="1745"/>
        <w:gridCol w:w="2355"/>
        <w:gridCol w:w="1279"/>
        <w:gridCol w:w="1538"/>
        <w:gridCol w:w="788"/>
      </w:tblGrid>
      <w:tr w:rsidR="00B92B87" w:rsidRPr="00771669" w:rsidTr="00B92B87">
        <w:trPr>
          <w:jc w:val="center"/>
        </w:trPr>
        <w:tc>
          <w:tcPr>
            <w:tcW w:w="591"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序号</w:t>
            </w:r>
          </w:p>
        </w:tc>
        <w:tc>
          <w:tcPr>
            <w:tcW w:w="1745"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课题编号</w:t>
            </w:r>
          </w:p>
        </w:tc>
        <w:tc>
          <w:tcPr>
            <w:tcW w:w="2355"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课题名称</w:t>
            </w:r>
          </w:p>
        </w:tc>
        <w:tc>
          <w:tcPr>
            <w:tcW w:w="1279"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负责人</w:t>
            </w:r>
          </w:p>
        </w:tc>
        <w:tc>
          <w:tcPr>
            <w:tcW w:w="1538"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所在单位</w:t>
            </w:r>
          </w:p>
        </w:tc>
        <w:tc>
          <w:tcPr>
            <w:tcW w:w="788" w:type="dxa"/>
            <w:vAlign w:val="center"/>
          </w:tcPr>
          <w:p w:rsidR="00B92B87" w:rsidRPr="00B92B87" w:rsidRDefault="00B92B87" w:rsidP="0068216F">
            <w:pPr>
              <w:jc w:val="center"/>
              <w:rPr>
                <w:rFonts w:ascii="宋体" w:hAnsi="宋体"/>
                <w:b/>
                <w:szCs w:val="21"/>
              </w:rPr>
            </w:pPr>
            <w:r w:rsidRPr="00B92B87">
              <w:rPr>
                <w:rFonts w:ascii="宋体" w:hAnsi="宋体" w:hint="eastAsia"/>
                <w:b/>
                <w:szCs w:val="21"/>
              </w:rPr>
              <w:t>课题等级</w:t>
            </w:r>
          </w:p>
        </w:tc>
      </w:tr>
      <w:tr w:rsidR="00B92B87" w:rsidRPr="00771669" w:rsidTr="00B92B87">
        <w:trPr>
          <w:jc w:val="center"/>
        </w:trPr>
        <w:tc>
          <w:tcPr>
            <w:tcW w:w="591" w:type="dxa"/>
            <w:vAlign w:val="center"/>
          </w:tcPr>
          <w:p w:rsidR="00B92B87" w:rsidRPr="00B92B87" w:rsidRDefault="00B92B87" w:rsidP="0068216F">
            <w:pPr>
              <w:jc w:val="center"/>
              <w:rPr>
                <w:rFonts w:ascii="Times New Roman" w:hAnsi="Times New Roman"/>
                <w:szCs w:val="21"/>
              </w:rPr>
            </w:pPr>
            <w:r w:rsidRPr="00B92B87">
              <w:rPr>
                <w:rFonts w:ascii="Times New Roman" w:hAnsi="Times New Roman"/>
                <w:szCs w:val="21"/>
              </w:rPr>
              <w:t>1</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25NDJC001Z</w:t>
            </w:r>
          </w:p>
        </w:tc>
        <w:tc>
          <w:tcPr>
            <w:tcW w:w="2355" w:type="dxa"/>
            <w:vAlign w:val="center"/>
          </w:tcPr>
          <w:p w:rsidR="00B92B87" w:rsidRPr="00B92B87" w:rsidRDefault="00B92B87" w:rsidP="0068216F">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全球视域下城市文化数字化拓展与新感知形象研究</w:t>
            </w:r>
          </w:p>
        </w:tc>
        <w:tc>
          <w:tcPr>
            <w:tcW w:w="1279" w:type="dxa"/>
            <w:vAlign w:val="center"/>
          </w:tcPr>
          <w:p w:rsidR="00B92B87" w:rsidRPr="00B92B87" w:rsidRDefault="00B92B87" w:rsidP="0068216F">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赵瑜佩</w:t>
            </w:r>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传媒与国际文化学院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重点</w:t>
            </w:r>
          </w:p>
        </w:tc>
      </w:tr>
      <w:tr w:rsidR="00B92B87" w:rsidRPr="00771669" w:rsidTr="00B92B87">
        <w:trPr>
          <w:jc w:val="center"/>
        </w:trPr>
        <w:tc>
          <w:tcPr>
            <w:tcW w:w="591" w:type="dxa"/>
            <w:vAlign w:val="center"/>
          </w:tcPr>
          <w:p w:rsidR="00B92B87" w:rsidRPr="00B92B87" w:rsidRDefault="00B92B87" w:rsidP="0068216F">
            <w:pPr>
              <w:jc w:val="center"/>
              <w:rPr>
                <w:rFonts w:ascii="Times New Roman" w:hAnsi="Times New Roman"/>
                <w:szCs w:val="21"/>
              </w:rPr>
            </w:pPr>
            <w:r w:rsidRPr="00B92B87">
              <w:rPr>
                <w:rFonts w:ascii="Times New Roman" w:hAnsi="Times New Roman"/>
                <w:szCs w:val="21"/>
              </w:rPr>
              <w:t>2</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25NDJC001YB</w:t>
            </w:r>
          </w:p>
        </w:tc>
        <w:tc>
          <w:tcPr>
            <w:tcW w:w="2355" w:type="dxa"/>
            <w:vAlign w:val="center"/>
          </w:tcPr>
          <w:p w:rsidR="00B92B87" w:rsidRPr="00B92B87" w:rsidRDefault="00B92B87" w:rsidP="0068216F">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江南儒学在东亚的连续性研究——17到19世纪《论语》仁学为中心</w:t>
            </w:r>
          </w:p>
        </w:tc>
        <w:tc>
          <w:tcPr>
            <w:tcW w:w="1279" w:type="dxa"/>
            <w:vAlign w:val="center"/>
          </w:tcPr>
          <w:p w:rsidR="00B92B87" w:rsidRPr="00B92B87" w:rsidRDefault="00B92B87" w:rsidP="0068216F">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YOU MINJUNG</w:t>
            </w:r>
            <w:r>
              <w:rPr>
                <w:rFonts w:ascii="宋体" w:hAnsi="宋体" w:hint="eastAsia"/>
                <w:color w:val="000000"/>
                <w:kern w:val="0"/>
                <w:szCs w:val="21"/>
              </w:rPr>
              <w:t>（</w:t>
            </w:r>
            <w:r w:rsidRPr="00B92B87">
              <w:rPr>
                <w:rFonts w:ascii="宋体" w:hAnsi="宋体" w:hint="eastAsia"/>
                <w:color w:val="000000"/>
                <w:kern w:val="0"/>
                <w:szCs w:val="21"/>
              </w:rPr>
              <w:t>柳旻定</w:t>
            </w:r>
            <w:r>
              <w:rPr>
                <w:rFonts w:ascii="宋体" w:hAnsi="宋体" w:hint="eastAsia"/>
                <w:color w:val="000000"/>
                <w:kern w:val="0"/>
                <w:szCs w:val="21"/>
              </w:rPr>
              <w:t>）</w:t>
            </w:r>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历史学院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r w:rsidR="00B92B87" w:rsidRPr="00771669" w:rsidTr="00B92B87">
        <w:trPr>
          <w:jc w:val="center"/>
        </w:trPr>
        <w:tc>
          <w:tcPr>
            <w:tcW w:w="591" w:type="dxa"/>
            <w:vAlign w:val="center"/>
          </w:tcPr>
          <w:p w:rsidR="00B92B87" w:rsidRPr="00B92B87" w:rsidRDefault="00B92B87" w:rsidP="00B92B87">
            <w:pPr>
              <w:jc w:val="center"/>
              <w:rPr>
                <w:rFonts w:ascii="Times New Roman" w:hAnsi="Times New Roman"/>
                <w:szCs w:val="21"/>
              </w:rPr>
            </w:pPr>
            <w:r w:rsidRPr="00B92B87">
              <w:rPr>
                <w:rFonts w:ascii="Times New Roman" w:hAnsi="Times New Roman"/>
                <w:szCs w:val="21"/>
              </w:rPr>
              <w:t>3</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25NDJC004YB</w:t>
            </w:r>
          </w:p>
        </w:tc>
        <w:tc>
          <w:tcPr>
            <w:tcW w:w="2355" w:type="dxa"/>
            <w:vAlign w:val="center"/>
          </w:tcPr>
          <w:p w:rsidR="00B92B87" w:rsidRPr="00B92B87" w:rsidRDefault="00B92B87" w:rsidP="00B92B87">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生成式AI技术赋能儿童批判性思维的培养研究</w:t>
            </w:r>
          </w:p>
        </w:tc>
        <w:tc>
          <w:tcPr>
            <w:tcW w:w="1279"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贾程媛</w:t>
            </w:r>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教育学院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r w:rsidR="00B92B87" w:rsidRPr="00771669" w:rsidTr="00B92B87">
        <w:trPr>
          <w:jc w:val="center"/>
        </w:trPr>
        <w:tc>
          <w:tcPr>
            <w:tcW w:w="591" w:type="dxa"/>
            <w:vAlign w:val="center"/>
          </w:tcPr>
          <w:p w:rsidR="00B92B87" w:rsidRPr="00B92B87" w:rsidRDefault="00B92B87" w:rsidP="00B92B87">
            <w:pPr>
              <w:jc w:val="center"/>
              <w:rPr>
                <w:rFonts w:ascii="Times New Roman" w:hAnsi="Times New Roman"/>
                <w:szCs w:val="21"/>
              </w:rPr>
            </w:pPr>
            <w:r w:rsidRPr="00B92B87">
              <w:rPr>
                <w:rFonts w:ascii="Times New Roman" w:hAnsi="Times New Roman"/>
                <w:szCs w:val="21"/>
              </w:rPr>
              <w:t>4</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25NDJC002YB</w:t>
            </w:r>
          </w:p>
        </w:tc>
        <w:tc>
          <w:tcPr>
            <w:tcW w:w="2355" w:type="dxa"/>
            <w:vAlign w:val="center"/>
          </w:tcPr>
          <w:p w:rsidR="00B92B87" w:rsidRPr="00B92B87" w:rsidRDefault="00B92B87" w:rsidP="00B92B87">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老年人数字健康体验及获得感提升策略研究</w:t>
            </w:r>
          </w:p>
        </w:tc>
        <w:tc>
          <w:tcPr>
            <w:tcW w:w="1279"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张大亮</w:t>
            </w:r>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管理学院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r w:rsidR="00B92B87" w:rsidRPr="00771669" w:rsidTr="00B92B87">
        <w:trPr>
          <w:jc w:val="center"/>
        </w:trPr>
        <w:tc>
          <w:tcPr>
            <w:tcW w:w="591" w:type="dxa"/>
            <w:vAlign w:val="center"/>
          </w:tcPr>
          <w:p w:rsidR="00B92B87" w:rsidRPr="00B92B87" w:rsidRDefault="00B92B87" w:rsidP="00B92B87">
            <w:pPr>
              <w:jc w:val="center"/>
              <w:rPr>
                <w:rFonts w:ascii="Times New Roman" w:hAnsi="Times New Roman"/>
                <w:szCs w:val="21"/>
              </w:rPr>
            </w:pPr>
            <w:r w:rsidRPr="00B92B87">
              <w:rPr>
                <w:rFonts w:ascii="Times New Roman" w:hAnsi="Times New Roman"/>
                <w:szCs w:val="21"/>
              </w:rPr>
              <w:t>5</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25NDJC003YB</w:t>
            </w:r>
          </w:p>
        </w:tc>
        <w:tc>
          <w:tcPr>
            <w:tcW w:w="2355" w:type="dxa"/>
            <w:vAlign w:val="center"/>
          </w:tcPr>
          <w:p w:rsidR="00B92B87" w:rsidRPr="00B92B87" w:rsidRDefault="00B92B87" w:rsidP="00B92B87">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城镇化格局分异下的浙江小城镇公共服务设施需求分级与服务导控体系</w:t>
            </w:r>
          </w:p>
        </w:tc>
        <w:tc>
          <w:tcPr>
            <w:tcW w:w="1279"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bookmarkStart w:id="1" w:name="OLE_LINK1"/>
            <w:bookmarkStart w:id="2" w:name="OLE_LINK2"/>
            <w:r w:rsidRPr="00B92B87">
              <w:rPr>
                <w:rFonts w:ascii="宋体" w:hAnsi="宋体" w:hint="eastAsia"/>
                <w:color w:val="000000"/>
                <w:kern w:val="0"/>
                <w:szCs w:val="21"/>
              </w:rPr>
              <w:t>裘知</w:t>
            </w:r>
            <w:bookmarkEnd w:id="1"/>
            <w:bookmarkEnd w:id="2"/>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建筑工程学院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r w:rsidR="00B92B87" w:rsidRPr="00771669" w:rsidTr="00B92B87">
        <w:trPr>
          <w:jc w:val="center"/>
        </w:trPr>
        <w:tc>
          <w:tcPr>
            <w:tcW w:w="591" w:type="dxa"/>
            <w:vAlign w:val="center"/>
          </w:tcPr>
          <w:p w:rsidR="00B92B87" w:rsidRPr="00B92B87" w:rsidRDefault="00B92B87" w:rsidP="00B92B87">
            <w:pPr>
              <w:jc w:val="center"/>
              <w:rPr>
                <w:rFonts w:ascii="Times New Roman" w:hAnsi="Times New Roman"/>
                <w:szCs w:val="21"/>
              </w:rPr>
            </w:pPr>
            <w:r w:rsidRPr="00B92B87">
              <w:rPr>
                <w:rFonts w:ascii="Times New Roman" w:hAnsi="Times New Roman"/>
                <w:szCs w:val="21"/>
              </w:rPr>
              <w:t>6</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25NDJC001YBM</w:t>
            </w:r>
          </w:p>
        </w:tc>
        <w:tc>
          <w:tcPr>
            <w:tcW w:w="2355" w:type="dxa"/>
            <w:vAlign w:val="center"/>
          </w:tcPr>
          <w:p w:rsidR="00B92B87" w:rsidRPr="00B92B87" w:rsidRDefault="00B92B87" w:rsidP="00B92B87">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基于台风“级联效应”的浙东地区韧性人居响应机制与建设路径研究</w:t>
            </w:r>
          </w:p>
        </w:tc>
        <w:tc>
          <w:tcPr>
            <w:tcW w:w="1279"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郭睿</w:t>
            </w:r>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建筑工程学院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r w:rsidR="00B92B87" w:rsidRPr="00771669" w:rsidTr="00B92B87">
        <w:trPr>
          <w:jc w:val="center"/>
        </w:trPr>
        <w:tc>
          <w:tcPr>
            <w:tcW w:w="591" w:type="dxa"/>
            <w:vAlign w:val="center"/>
          </w:tcPr>
          <w:p w:rsidR="00B92B87" w:rsidRPr="00B92B87" w:rsidRDefault="00B92B87" w:rsidP="00B92B87">
            <w:pPr>
              <w:jc w:val="center"/>
              <w:rPr>
                <w:rFonts w:ascii="Times New Roman" w:hAnsi="Times New Roman"/>
                <w:szCs w:val="21"/>
              </w:rPr>
            </w:pPr>
            <w:r w:rsidRPr="00B92B87">
              <w:rPr>
                <w:rFonts w:ascii="Times New Roman" w:hAnsi="Times New Roman"/>
                <w:szCs w:val="21"/>
              </w:rPr>
              <w:t>7</w:t>
            </w:r>
          </w:p>
        </w:tc>
        <w:tc>
          <w:tcPr>
            <w:tcW w:w="1745" w:type="dxa"/>
            <w:vAlign w:val="center"/>
          </w:tcPr>
          <w:p w:rsidR="00B92B87" w:rsidRPr="00B92B87" w:rsidRDefault="00B92B87" w:rsidP="00B92B87">
            <w:pPr>
              <w:widowControl/>
              <w:spacing w:line="300" w:lineRule="exact"/>
              <w:contextualSpacing/>
              <w:jc w:val="center"/>
              <w:textAlignment w:val="center"/>
              <w:rPr>
                <w:rFonts w:ascii="Times New Roman" w:hAnsi="Times New Roman"/>
                <w:color w:val="000000"/>
                <w:szCs w:val="21"/>
              </w:rPr>
            </w:pPr>
            <w:r w:rsidRPr="00B92B87">
              <w:rPr>
                <w:rFonts w:ascii="Times New Roman" w:hAnsi="Times New Roman"/>
                <w:color w:val="000000"/>
                <w:kern w:val="0"/>
                <w:szCs w:val="21"/>
              </w:rPr>
              <w:t>25NDJC005YB</w:t>
            </w:r>
          </w:p>
        </w:tc>
        <w:tc>
          <w:tcPr>
            <w:tcW w:w="2355" w:type="dxa"/>
            <w:vAlign w:val="center"/>
          </w:tcPr>
          <w:p w:rsidR="00B92B87" w:rsidRPr="00B92B87" w:rsidRDefault="00B92B87" w:rsidP="00B92B87">
            <w:pPr>
              <w:widowControl/>
              <w:spacing w:line="300" w:lineRule="exact"/>
              <w:contextualSpacing/>
              <w:textAlignment w:val="center"/>
              <w:rPr>
                <w:rFonts w:ascii="宋体" w:hAnsi="宋体"/>
                <w:color w:val="000000"/>
                <w:szCs w:val="21"/>
              </w:rPr>
            </w:pPr>
            <w:r w:rsidRPr="00B92B87">
              <w:rPr>
                <w:rFonts w:ascii="宋体" w:hAnsi="宋体" w:hint="eastAsia"/>
                <w:color w:val="000000"/>
                <w:kern w:val="0"/>
                <w:szCs w:val="21"/>
              </w:rPr>
              <w:t>智能材料媒介在科学启蒙中的应用路径研究</w:t>
            </w:r>
          </w:p>
        </w:tc>
        <w:tc>
          <w:tcPr>
            <w:tcW w:w="1279"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bookmarkStart w:id="3" w:name="OLE_LINK5"/>
            <w:bookmarkStart w:id="4" w:name="OLE_LINK6"/>
            <w:r w:rsidRPr="00B92B87">
              <w:rPr>
                <w:rFonts w:ascii="宋体" w:hAnsi="宋体" w:hint="eastAsia"/>
                <w:color w:val="000000"/>
                <w:kern w:val="0"/>
                <w:szCs w:val="21"/>
              </w:rPr>
              <w:t>王冠云</w:t>
            </w:r>
            <w:bookmarkEnd w:id="3"/>
            <w:bookmarkEnd w:id="4"/>
          </w:p>
        </w:tc>
        <w:tc>
          <w:tcPr>
            <w:tcW w:w="153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计算机科学与技术学院</w:t>
            </w:r>
          </w:p>
        </w:tc>
        <w:tc>
          <w:tcPr>
            <w:tcW w:w="788" w:type="dxa"/>
            <w:vAlign w:val="center"/>
          </w:tcPr>
          <w:p w:rsidR="00B92B87" w:rsidRPr="00B92B87" w:rsidRDefault="00B92B87" w:rsidP="00B92B87">
            <w:pPr>
              <w:widowControl/>
              <w:spacing w:line="300" w:lineRule="exact"/>
              <w:contextualSpacing/>
              <w:jc w:val="center"/>
              <w:textAlignment w:val="center"/>
              <w:rPr>
                <w:rFonts w:ascii="宋体" w:hAnsi="宋体"/>
                <w:color w:val="000000"/>
                <w:szCs w:val="21"/>
              </w:rPr>
            </w:pPr>
            <w:r w:rsidRPr="00B92B87">
              <w:rPr>
                <w:rFonts w:ascii="宋体" w:hAnsi="宋体" w:hint="eastAsia"/>
                <w:color w:val="000000"/>
                <w:kern w:val="0"/>
                <w:szCs w:val="21"/>
              </w:rPr>
              <w:t>一般</w:t>
            </w:r>
          </w:p>
        </w:tc>
      </w:tr>
    </w:tbl>
    <w:p w:rsidR="00B92B87" w:rsidRDefault="00B92B87" w:rsidP="00B92B87">
      <w:pPr>
        <w:rPr>
          <w:rFonts w:hint="eastAsia"/>
        </w:rPr>
      </w:pPr>
    </w:p>
    <w:sectPr w:rsidR="00B92B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3F" w:rsidRDefault="0034793F" w:rsidP="00B92B87">
      <w:r>
        <w:separator/>
      </w:r>
    </w:p>
  </w:endnote>
  <w:endnote w:type="continuationSeparator" w:id="0">
    <w:p w:rsidR="0034793F" w:rsidRDefault="0034793F" w:rsidP="00B9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3F" w:rsidRDefault="0034793F" w:rsidP="00B92B87">
      <w:r>
        <w:separator/>
      </w:r>
    </w:p>
  </w:footnote>
  <w:footnote w:type="continuationSeparator" w:id="0">
    <w:p w:rsidR="0034793F" w:rsidRDefault="0034793F" w:rsidP="00B92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58"/>
    <w:rsid w:val="0034793F"/>
    <w:rsid w:val="0040019B"/>
    <w:rsid w:val="006E0EB2"/>
    <w:rsid w:val="00786358"/>
    <w:rsid w:val="00B9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6D2E4"/>
  <w15:chartTrackingRefBased/>
  <w15:docId w15:val="{72807857-ED61-4C69-8E83-F9D4138E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B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92B87"/>
    <w:rPr>
      <w:sz w:val="18"/>
      <w:szCs w:val="18"/>
    </w:rPr>
  </w:style>
  <w:style w:type="paragraph" w:styleId="a5">
    <w:name w:val="footer"/>
    <w:basedOn w:val="a"/>
    <w:link w:val="a6"/>
    <w:uiPriority w:val="99"/>
    <w:unhideWhenUsed/>
    <w:rsid w:val="00B92B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92B87"/>
    <w:rPr>
      <w:sz w:val="18"/>
      <w:szCs w:val="18"/>
    </w:rPr>
  </w:style>
  <w:style w:type="table" w:styleId="a7">
    <w:name w:val="Table Grid"/>
    <w:basedOn w:val="a1"/>
    <w:uiPriority w:val="39"/>
    <w:rsid w:val="00B92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B92B87"/>
    <w:pPr>
      <w:widowControl/>
      <w:spacing w:before="100" w:beforeAutospacing="1" w:after="100" w:afterAutospacing="1"/>
      <w:jc w:val="left"/>
    </w:pPr>
    <w:rPr>
      <w:rFonts w:ascii="仿宋" w:hAnsi="宋体" w:cs="宋体"/>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OptiPlex 3080</cp:lastModifiedBy>
  <cp:revision>3</cp:revision>
  <dcterms:created xsi:type="dcterms:W3CDTF">2024-09-25T05:51:00Z</dcterms:created>
  <dcterms:modified xsi:type="dcterms:W3CDTF">2024-09-25T06:04:00Z</dcterms:modified>
</cp:coreProperties>
</file>