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5729" w:rsidRDefault="000A5729" w:rsidP="004A48AA">
      <w:pPr>
        <w:pStyle w:val="10"/>
        <w:snapToGrid w:val="0"/>
        <w:spacing w:line="360" w:lineRule="auto"/>
        <w:ind w:firstLineChars="0" w:firstLine="0"/>
        <w:jc w:val="left"/>
        <w:rPr>
          <w:rFonts w:ascii="黑体" w:eastAsia="黑体" w:hAnsi="黑体" w:cs="黑体"/>
          <w:bCs/>
          <w:color w:val="000000" w:themeColor="text1"/>
          <w:sz w:val="28"/>
          <w:szCs w:val="28"/>
        </w:rPr>
      </w:pPr>
      <w:r w:rsidRPr="009C06D3">
        <w:rPr>
          <w:rFonts w:ascii="黑体" w:eastAsia="黑体" w:hAnsi="黑体" w:cs="黑体" w:hint="eastAsia"/>
          <w:bCs/>
          <w:color w:val="000000" w:themeColor="text1"/>
          <w:sz w:val="28"/>
          <w:szCs w:val="28"/>
        </w:rPr>
        <w:t>附件</w:t>
      </w:r>
      <w:r w:rsidR="00F065EA">
        <w:rPr>
          <w:rFonts w:ascii="黑体" w:eastAsia="黑体" w:hAnsi="黑体" w:cs="黑体" w:hint="eastAsia"/>
          <w:bCs/>
          <w:color w:val="000000" w:themeColor="text1"/>
          <w:sz w:val="28"/>
          <w:szCs w:val="28"/>
        </w:rPr>
        <w:t>1</w:t>
      </w:r>
    </w:p>
    <w:p w:rsidR="009C06D3" w:rsidRPr="009C06D3" w:rsidRDefault="009C06D3" w:rsidP="004A48AA">
      <w:pPr>
        <w:pStyle w:val="10"/>
        <w:snapToGrid w:val="0"/>
        <w:spacing w:line="360" w:lineRule="auto"/>
        <w:ind w:firstLineChars="0" w:firstLine="0"/>
        <w:jc w:val="left"/>
        <w:rPr>
          <w:rFonts w:ascii="黑体" w:eastAsia="黑体" w:hAnsi="黑体" w:cs="黑体"/>
          <w:bCs/>
          <w:color w:val="000000" w:themeColor="text1"/>
          <w:sz w:val="28"/>
          <w:szCs w:val="28"/>
        </w:rPr>
      </w:pPr>
    </w:p>
    <w:p w:rsidR="000A5729" w:rsidRPr="00CE6259" w:rsidRDefault="000A5729" w:rsidP="004A48AA">
      <w:pPr>
        <w:pStyle w:val="10"/>
        <w:snapToGrid w:val="0"/>
        <w:spacing w:line="360" w:lineRule="auto"/>
        <w:ind w:firstLineChars="0" w:firstLine="0"/>
        <w:jc w:val="center"/>
        <w:rPr>
          <w:rFonts w:ascii="方正小标宋简体" w:eastAsia="方正小标宋简体" w:hAnsi="黑体" w:cs="黑体"/>
          <w:bCs/>
          <w:color w:val="000000" w:themeColor="text1"/>
          <w:sz w:val="44"/>
          <w:szCs w:val="44"/>
        </w:rPr>
      </w:pPr>
      <w:bookmarkStart w:id="0" w:name="_GoBack"/>
      <w:r w:rsidRPr="00CE6259">
        <w:rPr>
          <w:rFonts w:ascii="方正小标宋简体" w:eastAsia="方正小标宋简体" w:hAnsi="黑体" w:cs="黑体" w:hint="eastAsia"/>
          <w:bCs/>
          <w:color w:val="000000" w:themeColor="text1"/>
          <w:sz w:val="44"/>
          <w:szCs w:val="44"/>
        </w:rPr>
        <w:t>浙江省新型重点专业智库研究方向</w:t>
      </w:r>
      <w:bookmarkEnd w:id="0"/>
    </w:p>
    <w:p w:rsidR="000A5729" w:rsidRPr="00CE6259" w:rsidRDefault="000A5729" w:rsidP="004A48AA">
      <w:pPr>
        <w:pStyle w:val="10"/>
        <w:snapToGrid w:val="0"/>
        <w:spacing w:line="360" w:lineRule="auto"/>
        <w:ind w:firstLineChars="0" w:firstLine="0"/>
        <w:jc w:val="center"/>
        <w:rPr>
          <w:rFonts w:ascii="仿宋" w:eastAsia="仿宋" w:hAnsi="仿宋"/>
          <w:color w:val="000000" w:themeColor="text1"/>
          <w:sz w:val="30"/>
          <w:szCs w:val="30"/>
        </w:rPr>
      </w:pPr>
    </w:p>
    <w:p w:rsidR="000A5729" w:rsidRPr="00582E95" w:rsidRDefault="000A5729" w:rsidP="004A48AA">
      <w:pPr>
        <w:pStyle w:val="10"/>
        <w:snapToGrid w:val="0"/>
        <w:spacing w:line="360" w:lineRule="auto"/>
        <w:ind w:firstLine="600"/>
        <w:rPr>
          <w:rFonts w:ascii="仿宋_GB2312" w:eastAsia="仿宋_GB2312" w:hAnsi="黑体" w:cs="Tahoma"/>
          <w:color w:val="000000" w:themeColor="text1"/>
          <w:kern w:val="0"/>
          <w:sz w:val="30"/>
          <w:szCs w:val="30"/>
        </w:rPr>
      </w:pPr>
      <w:r w:rsidRPr="00582E95">
        <w:rPr>
          <w:rFonts w:ascii="黑体" w:eastAsia="黑体" w:hAnsi="黑体" w:cs="Tahoma" w:hint="eastAsia"/>
          <w:color w:val="000000" w:themeColor="text1"/>
          <w:kern w:val="0"/>
          <w:sz w:val="30"/>
          <w:szCs w:val="30"/>
        </w:rPr>
        <w:t>指导思想：</w:t>
      </w:r>
      <w:r w:rsidRPr="00F065EA">
        <w:rPr>
          <w:rFonts w:ascii="仿宋" w:eastAsia="仿宋" w:hAnsi="仿宋" w:cs="Tahoma" w:hint="eastAsia"/>
          <w:color w:val="000000" w:themeColor="text1"/>
          <w:kern w:val="0"/>
          <w:sz w:val="32"/>
          <w:szCs w:val="32"/>
        </w:rPr>
        <w:t>坚持以习近平新时代中国特色社会主义思想和党的十九大精神为指导，贯彻落实省第十四次党代会和省委十四届二次全会决策部署，紧紧围绕“六个浙江”建设，突出“四个强省”工作导向，聚焦国家和浙江重大战略需求，立足当前我省高水平建设现代化、推动高质量发展中迫切需要研究解决的重点问题，加快遴选培育一批重点专业智库，集聚人才和智力优势，组织开展战略性、前瞻性的决策咨询研究，服务党委政府科学民主依法决策，助推“两个高水平”建设</w:t>
      </w:r>
      <w:r w:rsidRPr="00582E95">
        <w:rPr>
          <w:rFonts w:ascii="仿宋_GB2312" w:eastAsia="仿宋_GB2312" w:hAnsi="黑体" w:cs="Tahoma" w:hint="eastAsia"/>
          <w:color w:val="000000" w:themeColor="text1"/>
          <w:kern w:val="0"/>
          <w:sz w:val="30"/>
          <w:szCs w:val="30"/>
        </w:rPr>
        <w:t>。</w:t>
      </w:r>
    </w:p>
    <w:p w:rsidR="00761227" w:rsidRPr="00F065EA" w:rsidRDefault="00761227" w:rsidP="004A48AA">
      <w:pPr>
        <w:snapToGrid w:val="0"/>
        <w:spacing w:line="360" w:lineRule="auto"/>
        <w:ind w:firstLineChars="218" w:firstLine="700"/>
        <w:rPr>
          <w:rFonts w:ascii="仿宋" w:eastAsia="仿宋" w:hAnsi="仿宋" w:cs="Tahoma"/>
          <w:color w:val="000000" w:themeColor="text1"/>
          <w:kern w:val="0"/>
          <w:sz w:val="32"/>
          <w:szCs w:val="32"/>
        </w:rPr>
      </w:pPr>
      <w:r w:rsidRPr="00F065EA">
        <w:rPr>
          <w:rFonts w:ascii="仿宋" w:eastAsia="仿宋" w:hAnsi="仿宋" w:cs="Tahoma" w:hint="eastAsia"/>
          <w:b/>
          <w:color w:val="000000" w:themeColor="text1"/>
          <w:kern w:val="0"/>
          <w:sz w:val="32"/>
          <w:szCs w:val="32"/>
        </w:rPr>
        <w:t>1.经济高质量发展与高水平现代化研究：</w:t>
      </w:r>
      <w:r w:rsidRPr="00F065EA" w:rsidDel="00664CDA">
        <w:rPr>
          <w:rFonts w:ascii="仿宋" w:eastAsia="仿宋" w:hAnsi="仿宋" w:cs="Tahoma" w:hint="eastAsia"/>
          <w:color w:val="000000" w:themeColor="text1"/>
          <w:kern w:val="0"/>
          <w:sz w:val="32"/>
          <w:szCs w:val="32"/>
        </w:rPr>
        <w:t>立足浙江</w:t>
      </w:r>
      <w:r w:rsidRPr="00F065EA">
        <w:rPr>
          <w:rFonts w:ascii="仿宋" w:eastAsia="仿宋" w:hAnsi="仿宋" w:cs="Tahoma" w:hint="eastAsia"/>
          <w:color w:val="000000" w:themeColor="text1"/>
          <w:kern w:val="0"/>
          <w:sz w:val="32"/>
          <w:szCs w:val="32"/>
        </w:rPr>
        <w:t>“两个</w:t>
      </w:r>
      <w:r w:rsidRPr="00F065EA" w:rsidDel="00664CDA">
        <w:rPr>
          <w:rFonts w:ascii="仿宋" w:eastAsia="仿宋" w:hAnsi="仿宋" w:cs="Tahoma" w:hint="eastAsia"/>
          <w:color w:val="000000" w:themeColor="text1"/>
          <w:kern w:val="0"/>
          <w:sz w:val="32"/>
          <w:szCs w:val="32"/>
        </w:rPr>
        <w:t>高水平</w:t>
      </w:r>
      <w:r w:rsidRPr="00F065EA">
        <w:rPr>
          <w:rFonts w:ascii="仿宋" w:eastAsia="仿宋" w:hAnsi="仿宋" w:cs="Tahoma" w:hint="eastAsia"/>
          <w:color w:val="000000" w:themeColor="text1"/>
          <w:kern w:val="0"/>
          <w:sz w:val="32"/>
          <w:szCs w:val="32"/>
        </w:rPr>
        <w:t>”建设</w:t>
      </w:r>
      <w:r w:rsidRPr="00F065EA" w:rsidDel="00664CDA">
        <w:rPr>
          <w:rFonts w:ascii="仿宋" w:eastAsia="仿宋" w:hAnsi="仿宋" w:cs="Tahoma" w:hint="eastAsia"/>
          <w:color w:val="000000" w:themeColor="text1"/>
          <w:kern w:val="0"/>
          <w:sz w:val="32"/>
          <w:szCs w:val="32"/>
        </w:rPr>
        <w:t>，</w:t>
      </w:r>
      <w:r w:rsidRPr="00F065EA">
        <w:rPr>
          <w:rFonts w:ascii="仿宋" w:eastAsia="仿宋" w:hAnsi="仿宋" w:cs="Tahoma" w:hint="eastAsia"/>
          <w:color w:val="000000" w:themeColor="text1"/>
          <w:kern w:val="0"/>
          <w:sz w:val="32"/>
          <w:szCs w:val="32"/>
        </w:rPr>
        <w:t>围绕建设富强浙江，贯彻落实新发展理念，以供给侧结构性改革为主线，以提高创新力竞争力为导向，以特色小镇打造为抓手，大力实施培育发展新动能行动计划，打好转型升级系列组合拳，加快重量级未来产业谋划布局，推动经济发展质量变革、效率变革、动力变革，着力在加快建设实体经济、科技创新、现代金融、人力资源协同发展的产业体系，加快形成具有鲜明浙江特点的现代化经济体系等方面，开展前瞻性、战略性咨询研究。</w:t>
      </w:r>
    </w:p>
    <w:p w:rsidR="00761227" w:rsidRPr="00F065EA" w:rsidRDefault="00761227" w:rsidP="004A48AA">
      <w:pPr>
        <w:snapToGrid w:val="0"/>
        <w:spacing w:line="360" w:lineRule="auto"/>
        <w:ind w:firstLineChars="218" w:firstLine="700"/>
        <w:rPr>
          <w:rFonts w:ascii="仿宋" w:eastAsia="仿宋" w:hAnsi="仿宋" w:cs="Tahoma"/>
          <w:color w:val="000000" w:themeColor="text1"/>
          <w:kern w:val="0"/>
          <w:sz w:val="32"/>
          <w:szCs w:val="32"/>
        </w:rPr>
      </w:pPr>
      <w:r w:rsidRPr="00F065EA">
        <w:rPr>
          <w:rFonts w:ascii="仿宋" w:eastAsia="仿宋" w:hAnsi="仿宋" w:cs="Tahoma" w:hint="eastAsia"/>
          <w:b/>
          <w:color w:val="000000" w:themeColor="text1"/>
          <w:kern w:val="0"/>
          <w:sz w:val="32"/>
          <w:szCs w:val="32"/>
        </w:rPr>
        <w:t>2.乡村振兴战略研究：</w:t>
      </w:r>
      <w:r w:rsidRPr="00F065EA">
        <w:rPr>
          <w:rFonts w:ascii="仿宋" w:eastAsia="仿宋" w:hAnsi="仿宋" w:cs="Tahoma" w:hint="eastAsia"/>
          <w:color w:val="000000" w:themeColor="text1"/>
          <w:kern w:val="0"/>
          <w:sz w:val="32"/>
          <w:szCs w:val="32"/>
        </w:rPr>
        <w:t>立足建设好生态宜居的美丽乡村，</w:t>
      </w:r>
      <w:r w:rsidRPr="00F065EA">
        <w:rPr>
          <w:rFonts w:ascii="仿宋" w:eastAsia="仿宋" w:hAnsi="仿宋" w:cs="Tahoma" w:hint="eastAsia"/>
          <w:color w:val="000000" w:themeColor="text1"/>
          <w:kern w:val="0"/>
          <w:sz w:val="32"/>
          <w:szCs w:val="32"/>
        </w:rPr>
        <w:lastRenderedPageBreak/>
        <w:t>让广大农民有更多获得感幸福感，贯彻落实浙江乡村振兴战略行动计划，深入实施“千村示范、万村整治”工程，着力在建立健全城乡融合发展体制机制和政策体系，加快推进农业农村现代化，美化农村环境，促进农业发展、引导农民致富、繁荣农村文化、培养“三农”队伍等方面，开展前瞻性、战略性咨询研究。</w:t>
      </w:r>
    </w:p>
    <w:p w:rsidR="00761227" w:rsidRPr="00F065EA" w:rsidRDefault="00761227" w:rsidP="004A48AA">
      <w:pPr>
        <w:snapToGrid w:val="0"/>
        <w:spacing w:line="360" w:lineRule="auto"/>
        <w:ind w:firstLineChars="200" w:firstLine="643"/>
        <w:rPr>
          <w:rFonts w:ascii="仿宋" w:eastAsia="仿宋" w:hAnsi="仿宋" w:cs="Tahoma"/>
          <w:color w:val="000000" w:themeColor="text1"/>
          <w:kern w:val="0"/>
          <w:sz w:val="32"/>
          <w:szCs w:val="32"/>
        </w:rPr>
      </w:pPr>
      <w:r w:rsidRPr="00F065EA">
        <w:rPr>
          <w:rFonts w:ascii="仿宋" w:eastAsia="仿宋" w:hAnsi="仿宋" w:cs="Tahoma" w:hint="eastAsia"/>
          <w:b/>
          <w:color w:val="000000" w:themeColor="text1"/>
          <w:kern w:val="0"/>
          <w:sz w:val="32"/>
          <w:szCs w:val="32"/>
        </w:rPr>
        <w:t>3.创新驱动与智能制造研究：</w:t>
      </w:r>
      <w:r w:rsidRPr="00F065EA">
        <w:rPr>
          <w:rFonts w:ascii="仿宋" w:eastAsia="仿宋" w:hAnsi="仿宋" w:cs="Tahoma" w:hint="eastAsia"/>
          <w:color w:val="000000" w:themeColor="text1"/>
          <w:kern w:val="0"/>
          <w:sz w:val="32"/>
          <w:szCs w:val="32"/>
        </w:rPr>
        <w:t>树立创新强省工作导向，围绕深入实施创新驱动发展战略，集聚全球优质创新要素，推进“两化”深度融合，以智能制造为主攻方向，在“创牌、定标、创新、智造”上求突破，着力在推进科技创新、产业创新和转型升级、知识产权利用和保护、杭州城西科创大走廊建设、“中国制造2025”试点示范城市建设等方面，开展前瞻性、战略性问题研究。</w:t>
      </w:r>
    </w:p>
    <w:p w:rsidR="00761227" w:rsidRPr="00F065EA" w:rsidRDefault="00761227" w:rsidP="004A48AA">
      <w:pPr>
        <w:snapToGrid w:val="0"/>
        <w:spacing w:line="360" w:lineRule="auto"/>
        <w:ind w:firstLineChars="200" w:firstLine="643"/>
        <w:rPr>
          <w:rFonts w:ascii="仿宋" w:eastAsia="仿宋" w:hAnsi="仿宋" w:cs="Tahoma"/>
          <w:color w:val="000000" w:themeColor="text1"/>
          <w:kern w:val="0"/>
          <w:sz w:val="32"/>
          <w:szCs w:val="32"/>
        </w:rPr>
      </w:pPr>
      <w:r w:rsidRPr="00F065EA">
        <w:rPr>
          <w:rFonts w:ascii="仿宋" w:eastAsia="仿宋" w:hAnsi="仿宋" w:cs="Tahoma" w:hint="eastAsia"/>
          <w:b/>
          <w:color w:val="000000" w:themeColor="text1"/>
          <w:kern w:val="0"/>
          <w:sz w:val="32"/>
          <w:szCs w:val="32"/>
        </w:rPr>
        <w:t>4.中小企业转型升级研究：</w:t>
      </w:r>
      <w:r w:rsidRPr="00F065EA">
        <w:rPr>
          <w:rFonts w:ascii="仿宋" w:eastAsia="仿宋" w:hAnsi="仿宋" w:cs="Tahoma" w:hint="eastAsia"/>
          <w:color w:val="000000" w:themeColor="text1"/>
          <w:kern w:val="0"/>
          <w:sz w:val="32"/>
          <w:szCs w:val="32"/>
        </w:rPr>
        <w:t>围绕供给侧结构</w:t>
      </w:r>
      <w:r w:rsidR="00763025" w:rsidRPr="00F065EA">
        <w:rPr>
          <w:rFonts w:ascii="仿宋" w:eastAsia="仿宋" w:hAnsi="仿宋" w:cs="Tahoma" w:hint="eastAsia"/>
          <w:color w:val="000000" w:themeColor="text1"/>
          <w:kern w:val="0"/>
          <w:sz w:val="32"/>
          <w:szCs w:val="32"/>
        </w:rPr>
        <w:t>性</w:t>
      </w:r>
      <w:r w:rsidRPr="00F065EA">
        <w:rPr>
          <w:rFonts w:ascii="仿宋" w:eastAsia="仿宋" w:hAnsi="仿宋" w:cs="Tahoma" w:hint="eastAsia"/>
          <w:color w:val="000000" w:themeColor="text1"/>
          <w:kern w:val="0"/>
          <w:sz w:val="32"/>
          <w:szCs w:val="32"/>
        </w:rPr>
        <w:t>改革、创业创新，以浙江民营经济发展为主线，实施全面改造提升传统制造业行动计划，大力推进腾笼换鸟、凤凰涅槃，加快推进中小企业转型升级，全面振兴实体经济，着力在中小企业产业转型和标准制定、中小企业政策和国际化战略实施、总部经济打造、产业生态塑造、营商环境改善、“浙商回归”、工匠队伍建设、企业家精神传承与创新等方面，开展前瞻性、战略性咨询研究。</w:t>
      </w:r>
    </w:p>
    <w:p w:rsidR="00761227" w:rsidRPr="00F065EA" w:rsidRDefault="00761227" w:rsidP="004A48AA">
      <w:pPr>
        <w:snapToGrid w:val="0"/>
        <w:spacing w:line="360" w:lineRule="auto"/>
        <w:ind w:firstLineChars="200" w:firstLine="643"/>
        <w:rPr>
          <w:rFonts w:ascii="仿宋" w:eastAsia="仿宋" w:hAnsi="仿宋" w:cs="Tahoma"/>
          <w:color w:val="000000" w:themeColor="text1"/>
          <w:kern w:val="0"/>
          <w:sz w:val="32"/>
          <w:szCs w:val="32"/>
        </w:rPr>
      </w:pPr>
      <w:r w:rsidRPr="00F065EA">
        <w:rPr>
          <w:rFonts w:ascii="仿宋" w:eastAsia="仿宋" w:hAnsi="仿宋" w:cs="Tahoma" w:hint="eastAsia"/>
          <w:b/>
          <w:color w:val="000000" w:themeColor="text1"/>
          <w:kern w:val="0"/>
          <w:sz w:val="32"/>
          <w:szCs w:val="32"/>
        </w:rPr>
        <w:t>5.区域协调发展战略研究</w:t>
      </w:r>
      <w:r w:rsidR="007E2987" w:rsidRPr="00F065EA">
        <w:rPr>
          <w:rFonts w:ascii="仿宋" w:eastAsia="仿宋" w:hAnsi="仿宋" w:cs="Tahoma" w:hint="eastAsia"/>
          <w:b/>
          <w:color w:val="000000" w:themeColor="text1"/>
          <w:kern w:val="0"/>
          <w:sz w:val="32"/>
          <w:szCs w:val="32"/>
        </w:rPr>
        <w:t>：</w:t>
      </w:r>
      <w:r w:rsidRPr="00F065EA">
        <w:rPr>
          <w:rFonts w:ascii="仿宋" w:eastAsia="仿宋" w:hAnsi="仿宋" w:cs="Tahoma" w:hint="eastAsia"/>
          <w:color w:val="000000" w:themeColor="text1"/>
          <w:kern w:val="0"/>
          <w:sz w:val="32"/>
          <w:szCs w:val="32"/>
        </w:rPr>
        <w:t>围绕大湾区大通道大都市区建设，在推进杭州湾经济区建设，加强杭州、宁波、温州、金义</w:t>
      </w:r>
      <w:r w:rsidRPr="00F065EA">
        <w:rPr>
          <w:rFonts w:ascii="仿宋" w:eastAsia="仿宋" w:hAnsi="仿宋" w:cs="Tahoma" w:hint="eastAsia"/>
          <w:color w:val="000000" w:themeColor="text1"/>
          <w:kern w:val="0"/>
          <w:sz w:val="32"/>
          <w:szCs w:val="32"/>
        </w:rPr>
        <w:lastRenderedPageBreak/>
        <w:t>四大都市区建设，促进大中小城市和小城镇协调发展及省域联动发展，打造国家中心城市，推动长三角一体化发展与城市创新转型等方面，开展前瞻性、战略性咨询研究。</w:t>
      </w:r>
    </w:p>
    <w:p w:rsidR="00761227" w:rsidRPr="00F065EA" w:rsidRDefault="00761227" w:rsidP="004A48AA">
      <w:pPr>
        <w:snapToGrid w:val="0"/>
        <w:spacing w:line="360" w:lineRule="auto"/>
        <w:ind w:firstLineChars="200" w:firstLine="643"/>
        <w:rPr>
          <w:rFonts w:ascii="仿宋" w:eastAsia="仿宋" w:hAnsi="仿宋" w:cs="Tahoma"/>
          <w:color w:val="000000" w:themeColor="text1"/>
          <w:kern w:val="0"/>
          <w:sz w:val="32"/>
          <w:szCs w:val="32"/>
        </w:rPr>
      </w:pPr>
      <w:r w:rsidRPr="00F065EA">
        <w:rPr>
          <w:rFonts w:ascii="仿宋" w:eastAsia="仿宋" w:hAnsi="仿宋" w:cs="Tahoma" w:hint="eastAsia"/>
          <w:b/>
          <w:color w:val="000000" w:themeColor="text1"/>
          <w:kern w:val="0"/>
          <w:sz w:val="32"/>
          <w:szCs w:val="32"/>
        </w:rPr>
        <w:t>6.“一带一路”与开放强省研究：</w:t>
      </w:r>
      <w:r w:rsidRPr="00F065EA">
        <w:rPr>
          <w:rFonts w:ascii="仿宋" w:eastAsia="仿宋" w:hAnsi="仿宋" w:cs="Tahoma" w:hint="eastAsia"/>
          <w:color w:val="000000" w:themeColor="text1"/>
          <w:kern w:val="0"/>
          <w:sz w:val="32"/>
          <w:szCs w:val="32"/>
        </w:rPr>
        <w:t>牢固树立开放强省工作导向，围绕浙江如何以“一带一路”建设为统领构建全面开放新格局，在打造“一带一路”枢纽，加快城市国际化、企业国际化、人才国际化，联动推进海港、陆港、空港、信息港建设，推动自由贸易区（港）、江海联运服务中心、跨境电商综试区、临空经济示范区等各类开放平台建设，加强国际交流与国别关系等方面开展前瞻性、战略性研究。</w:t>
      </w:r>
    </w:p>
    <w:p w:rsidR="00761227" w:rsidRPr="00F065EA" w:rsidRDefault="00761227" w:rsidP="004A48AA">
      <w:pPr>
        <w:snapToGrid w:val="0"/>
        <w:spacing w:line="360" w:lineRule="auto"/>
        <w:ind w:firstLineChars="200" w:firstLine="643"/>
        <w:rPr>
          <w:rFonts w:ascii="仿宋" w:eastAsia="仿宋" w:hAnsi="仿宋" w:cs="Tahoma"/>
          <w:color w:val="000000" w:themeColor="text1"/>
          <w:kern w:val="0"/>
          <w:sz w:val="32"/>
          <w:szCs w:val="32"/>
        </w:rPr>
      </w:pPr>
      <w:r w:rsidRPr="00F065EA">
        <w:rPr>
          <w:rFonts w:ascii="仿宋" w:eastAsia="仿宋" w:hAnsi="仿宋" w:cs="Tahoma" w:hint="eastAsia"/>
          <w:b/>
          <w:color w:val="000000" w:themeColor="text1"/>
          <w:kern w:val="0"/>
          <w:sz w:val="32"/>
          <w:szCs w:val="32"/>
        </w:rPr>
        <w:t>7.海洋战略研究：</w:t>
      </w:r>
      <w:r w:rsidRPr="00F065EA">
        <w:rPr>
          <w:rFonts w:ascii="仿宋" w:eastAsia="仿宋" w:hAnsi="仿宋" w:cs="Tahoma" w:hint="eastAsia"/>
          <w:color w:val="000000" w:themeColor="text1"/>
          <w:kern w:val="0"/>
          <w:sz w:val="32"/>
          <w:szCs w:val="32"/>
        </w:rPr>
        <w:t>围绕实施“5211”海洋强省行动，在深入推进浙江海洋经济发展示范区和舟山群岛新区建设，统筹抓好海洋资源开发、海洋产业发展、海洋科技创新、海洋文化培育，发展海洋旅游，加强岸线资源保护和海洋综合管理，维护海洋利益权益，打造宁波舟山港国际一流强港和国际港航物流枢纽开放平台等方面，开展前瞻性、战略性咨询研究。</w:t>
      </w:r>
    </w:p>
    <w:p w:rsidR="00761227" w:rsidRPr="00F065EA" w:rsidRDefault="00761227" w:rsidP="004A48AA">
      <w:pPr>
        <w:snapToGrid w:val="0"/>
        <w:spacing w:line="360" w:lineRule="auto"/>
        <w:ind w:firstLineChars="200" w:firstLine="643"/>
        <w:rPr>
          <w:rFonts w:ascii="仿宋" w:eastAsia="仿宋" w:hAnsi="仿宋" w:cs="Tahoma"/>
          <w:color w:val="000000" w:themeColor="text1"/>
          <w:kern w:val="0"/>
          <w:sz w:val="32"/>
          <w:szCs w:val="32"/>
        </w:rPr>
      </w:pPr>
      <w:r w:rsidRPr="00F065EA">
        <w:rPr>
          <w:rFonts w:ascii="仿宋" w:eastAsia="仿宋" w:hAnsi="仿宋" w:cs="Tahoma" w:hint="eastAsia"/>
          <w:b/>
          <w:color w:val="000000" w:themeColor="text1"/>
          <w:kern w:val="0"/>
          <w:sz w:val="32"/>
          <w:szCs w:val="32"/>
        </w:rPr>
        <w:t>8.数字化转型发展战略研究：</w:t>
      </w:r>
      <w:r w:rsidRPr="00F065EA">
        <w:rPr>
          <w:rFonts w:ascii="仿宋" w:eastAsia="仿宋" w:hAnsi="仿宋" w:cs="Tahoma" w:hint="eastAsia"/>
          <w:color w:val="000000" w:themeColor="text1"/>
          <w:kern w:val="0"/>
          <w:sz w:val="32"/>
          <w:szCs w:val="32"/>
        </w:rPr>
        <w:t>围绕信息经济发展，突出以“互联网+”为核心的信息经济引领和智慧城市打造，在推进云计算、大数据、物联网、区块链等信息技术的研发和运用，提升城市公共服务、便民服务、信息消费、产业发展等能力，在国家互联网创新发展试验区建设和世界互联网大会的主题策划、议题设置、组织管理、宣传推广等方面，开展前瞻性、</w:t>
      </w:r>
      <w:r w:rsidRPr="00F065EA">
        <w:rPr>
          <w:rFonts w:ascii="仿宋" w:eastAsia="仿宋" w:hAnsi="仿宋" w:cs="Tahoma" w:hint="eastAsia"/>
          <w:color w:val="000000" w:themeColor="text1"/>
          <w:kern w:val="0"/>
          <w:sz w:val="32"/>
          <w:szCs w:val="32"/>
        </w:rPr>
        <w:lastRenderedPageBreak/>
        <w:t>战略性咨询研究。</w:t>
      </w:r>
    </w:p>
    <w:p w:rsidR="00761227" w:rsidRPr="00F065EA" w:rsidRDefault="00761227" w:rsidP="004A48AA">
      <w:pPr>
        <w:snapToGrid w:val="0"/>
        <w:spacing w:line="360" w:lineRule="auto"/>
        <w:ind w:firstLineChars="200" w:firstLine="643"/>
        <w:rPr>
          <w:rFonts w:ascii="仿宋" w:eastAsia="仿宋" w:hAnsi="仿宋" w:cs="Tahoma"/>
          <w:color w:val="000000" w:themeColor="text1"/>
          <w:kern w:val="0"/>
          <w:sz w:val="32"/>
          <w:szCs w:val="32"/>
        </w:rPr>
      </w:pPr>
      <w:r w:rsidRPr="00F065EA">
        <w:rPr>
          <w:rFonts w:ascii="仿宋" w:eastAsia="仿宋" w:hAnsi="仿宋" w:cs="Tahoma" w:hint="eastAsia"/>
          <w:b/>
          <w:color w:val="000000" w:themeColor="text1"/>
          <w:kern w:val="0"/>
          <w:sz w:val="32"/>
          <w:szCs w:val="32"/>
        </w:rPr>
        <w:t>9.文化发展战略研究：</w:t>
      </w:r>
      <w:r w:rsidRPr="00F065EA">
        <w:rPr>
          <w:rFonts w:ascii="仿宋" w:eastAsia="仿宋" w:hAnsi="仿宋" w:cs="Tahoma" w:hint="eastAsia"/>
          <w:color w:val="000000" w:themeColor="text1"/>
          <w:kern w:val="0"/>
          <w:sz w:val="32"/>
          <w:szCs w:val="32"/>
        </w:rPr>
        <w:t>围绕文化浙江建设，在文化体制改革、公共文化服务体系建设、文化惠民工程实施、文化产业创新发展、文化交流与传播、国际科教人文交流枢纽建设等方面，开展前瞻性、战略性咨询研究。</w:t>
      </w:r>
    </w:p>
    <w:p w:rsidR="00761227" w:rsidRPr="00F065EA" w:rsidRDefault="00761227" w:rsidP="004A48AA">
      <w:pPr>
        <w:snapToGrid w:val="0"/>
        <w:spacing w:line="360" w:lineRule="auto"/>
        <w:ind w:firstLineChars="200" w:firstLine="643"/>
        <w:rPr>
          <w:rFonts w:ascii="仿宋" w:eastAsia="仿宋" w:hAnsi="仿宋" w:cs="Tahoma"/>
          <w:color w:val="000000" w:themeColor="text1"/>
          <w:kern w:val="0"/>
          <w:sz w:val="32"/>
          <w:szCs w:val="32"/>
        </w:rPr>
      </w:pPr>
      <w:r w:rsidRPr="00F065EA">
        <w:rPr>
          <w:rFonts w:ascii="仿宋" w:eastAsia="仿宋" w:hAnsi="仿宋" w:cs="Tahoma" w:hint="eastAsia"/>
          <w:b/>
          <w:color w:val="000000" w:themeColor="text1"/>
          <w:kern w:val="0"/>
          <w:sz w:val="32"/>
          <w:szCs w:val="32"/>
        </w:rPr>
        <w:t>10.社会治理研究：</w:t>
      </w:r>
      <w:r w:rsidRPr="00F065EA">
        <w:rPr>
          <w:rFonts w:ascii="仿宋" w:eastAsia="仿宋" w:hAnsi="仿宋" w:cs="Tahoma" w:hint="eastAsia"/>
          <w:color w:val="000000" w:themeColor="text1"/>
          <w:kern w:val="0"/>
          <w:sz w:val="32"/>
          <w:szCs w:val="32"/>
        </w:rPr>
        <w:t>围绕平安浙江和法治浙江建设，加快推进社会治理体系建设，全面高水平坚持和发展“枫桥经验”，巩固和完善G20杭州峰会维稳安保长效机制，全面提升社会治理社会化、法治化、智能化、精细化、专业化水平，完善提升我省社会舆情研判、引导、应对、处置水平，在推广“互联网＋社会治理”新模式、防范与化解社会风险、实现政府治理和社会调节、民主协商与基层治理、居民自治良性互动、建立和完善社会舆情研判机制、网络舆情监管等方面，开展前瞻性、战略性咨询研究。</w:t>
      </w:r>
    </w:p>
    <w:p w:rsidR="00761227" w:rsidRPr="00F065EA" w:rsidRDefault="00761227" w:rsidP="004A48AA">
      <w:pPr>
        <w:snapToGrid w:val="0"/>
        <w:spacing w:line="360" w:lineRule="auto"/>
        <w:ind w:firstLineChars="200" w:firstLine="643"/>
        <w:rPr>
          <w:rFonts w:ascii="仿宋" w:eastAsia="仿宋" w:hAnsi="仿宋" w:cs="Tahoma"/>
          <w:color w:val="000000" w:themeColor="text1"/>
          <w:kern w:val="0"/>
          <w:sz w:val="32"/>
          <w:szCs w:val="32"/>
        </w:rPr>
      </w:pPr>
      <w:r w:rsidRPr="00F065EA">
        <w:rPr>
          <w:rFonts w:ascii="仿宋" w:eastAsia="仿宋" w:hAnsi="仿宋" w:cs="Tahoma" w:hint="eastAsia"/>
          <w:b/>
          <w:color w:val="000000" w:themeColor="text1"/>
          <w:kern w:val="0"/>
          <w:sz w:val="32"/>
          <w:szCs w:val="32"/>
        </w:rPr>
        <w:t>11.政府</w:t>
      </w:r>
      <w:r w:rsidR="00DE00F3">
        <w:rPr>
          <w:rFonts w:ascii="仿宋" w:eastAsia="仿宋" w:hAnsi="仿宋" w:cs="Tahoma" w:hint="eastAsia"/>
          <w:b/>
          <w:color w:val="000000" w:themeColor="text1"/>
          <w:kern w:val="0"/>
          <w:sz w:val="32"/>
          <w:szCs w:val="32"/>
        </w:rPr>
        <w:t>监管</w:t>
      </w:r>
      <w:r w:rsidRPr="00F065EA">
        <w:rPr>
          <w:rFonts w:ascii="仿宋" w:eastAsia="仿宋" w:hAnsi="仿宋" w:cs="Tahoma" w:hint="eastAsia"/>
          <w:b/>
          <w:color w:val="000000" w:themeColor="text1"/>
          <w:kern w:val="0"/>
          <w:sz w:val="32"/>
          <w:szCs w:val="32"/>
        </w:rPr>
        <w:t>与公共政策研究：</w:t>
      </w:r>
      <w:r w:rsidRPr="00F065EA">
        <w:rPr>
          <w:rFonts w:ascii="仿宋" w:eastAsia="仿宋" w:hAnsi="仿宋" w:cs="Tahoma" w:hint="eastAsia"/>
          <w:color w:val="000000" w:themeColor="text1"/>
          <w:kern w:val="0"/>
          <w:sz w:val="32"/>
          <w:szCs w:val="32"/>
        </w:rPr>
        <w:t>以“最多跑一次”为统领，撬动各领域改革，在创新公共政策供给、优化公共产品与公共服务、提升公共政策有效性、完善改革创新容错免责机制、规范公共政策创新行为、提升公共政策创新制度化水平、“浙江探索与浙江经验”数据库建设等方面，开展前瞻性、战略性咨询研究。</w:t>
      </w:r>
    </w:p>
    <w:p w:rsidR="00761227" w:rsidRPr="00F065EA" w:rsidRDefault="00761227" w:rsidP="004A48AA">
      <w:pPr>
        <w:snapToGrid w:val="0"/>
        <w:spacing w:line="360" w:lineRule="auto"/>
        <w:ind w:firstLineChars="200" w:firstLine="643"/>
        <w:rPr>
          <w:rFonts w:ascii="仿宋" w:eastAsia="仿宋" w:hAnsi="仿宋" w:cs="Tahoma"/>
          <w:color w:val="000000" w:themeColor="text1"/>
          <w:kern w:val="0"/>
          <w:sz w:val="32"/>
          <w:szCs w:val="32"/>
        </w:rPr>
      </w:pPr>
      <w:r w:rsidRPr="00F065EA">
        <w:rPr>
          <w:rFonts w:ascii="仿宋" w:eastAsia="仿宋" w:hAnsi="仿宋" w:cs="Tahoma" w:hint="eastAsia"/>
          <w:b/>
          <w:color w:val="000000" w:themeColor="text1"/>
          <w:kern w:val="0"/>
          <w:sz w:val="32"/>
          <w:szCs w:val="32"/>
        </w:rPr>
        <w:t>12.生态文明建设研究：</w:t>
      </w:r>
      <w:r w:rsidRPr="00F065EA">
        <w:rPr>
          <w:rFonts w:ascii="仿宋" w:eastAsia="仿宋" w:hAnsi="仿宋" w:cs="Tahoma" w:hint="eastAsia"/>
          <w:color w:val="000000" w:themeColor="text1"/>
          <w:kern w:val="0"/>
          <w:sz w:val="32"/>
          <w:szCs w:val="32"/>
        </w:rPr>
        <w:t>围绕深入践行“绿水青山就是金山银山”重要思想，以“811”美丽浙江建设行动和实施“大</w:t>
      </w:r>
      <w:r w:rsidRPr="00F065EA">
        <w:rPr>
          <w:rFonts w:ascii="仿宋" w:eastAsia="仿宋" w:hAnsi="仿宋" w:cs="Tahoma" w:hint="eastAsia"/>
          <w:color w:val="000000" w:themeColor="text1"/>
          <w:kern w:val="0"/>
          <w:sz w:val="32"/>
          <w:szCs w:val="32"/>
        </w:rPr>
        <w:lastRenderedPageBreak/>
        <w:t>花园”建设行动纲要为抓手，狠抓节能减排，大力推进生态治理，打好环境保护攻坚战，培育生态经济，加快生态文明建设，在打造循环经济、健全生态补偿机制、推进万村景区化建设、推进小城镇环境综合整治、特色小镇建设、可持续发展议程创新示范区创建等方面，开展前瞻性、战略性咨询研究。</w:t>
      </w:r>
    </w:p>
    <w:p w:rsidR="00761227" w:rsidRPr="00F065EA" w:rsidRDefault="00761227" w:rsidP="004A48AA">
      <w:pPr>
        <w:snapToGrid w:val="0"/>
        <w:spacing w:line="360" w:lineRule="auto"/>
        <w:ind w:firstLine="602"/>
        <w:rPr>
          <w:rFonts w:ascii="仿宋" w:eastAsia="仿宋" w:hAnsi="仿宋" w:cs="Tahoma"/>
          <w:color w:val="000000" w:themeColor="text1"/>
          <w:kern w:val="0"/>
          <w:sz w:val="32"/>
          <w:szCs w:val="32"/>
        </w:rPr>
      </w:pPr>
      <w:r w:rsidRPr="00F065EA">
        <w:rPr>
          <w:rFonts w:ascii="仿宋" w:eastAsia="仿宋" w:hAnsi="仿宋" w:cs="Tahoma" w:hint="eastAsia"/>
          <w:b/>
          <w:color w:val="000000" w:themeColor="text1"/>
          <w:kern w:val="0"/>
          <w:sz w:val="32"/>
          <w:szCs w:val="32"/>
        </w:rPr>
        <w:t>13.人才发展战略研究：</w:t>
      </w:r>
      <w:r w:rsidRPr="00F065EA">
        <w:rPr>
          <w:rFonts w:ascii="仿宋" w:eastAsia="仿宋" w:hAnsi="仿宋" w:cs="Tahoma" w:hint="eastAsia"/>
          <w:color w:val="000000" w:themeColor="text1"/>
          <w:kern w:val="0"/>
          <w:sz w:val="32"/>
          <w:szCs w:val="32"/>
        </w:rPr>
        <w:t>牢固树立人才强省工作导向，以打造人才生态最优省为目标，面向全球大力推进引智揽才，大力推进“万众创新 大众创业”，加快创新人才培养，大力支持浙江高校“双一流”建设，积极推动浙籍学者智力回归计划，在人才生态环境打造、人才政策体系制定、人才创新创业扶持等方面，开展前瞻性、战略性的咨询研究。</w:t>
      </w:r>
    </w:p>
    <w:p w:rsidR="00FB7B99" w:rsidRDefault="00761227" w:rsidP="004A48AA">
      <w:pPr>
        <w:snapToGrid w:val="0"/>
        <w:spacing w:line="360" w:lineRule="auto"/>
        <w:ind w:firstLineChars="181" w:firstLine="581"/>
        <w:rPr>
          <w:rFonts w:ascii="仿宋" w:eastAsia="仿宋" w:hAnsi="仿宋" w:cs="Tahoma"/>
          <w:color w:val="000000" w:themeColor="text1"/>
          <w:kern w:val="0"/>
          <w:sz w:val="32"/>
          <w:szCs w:val="32"/>
        </w:rPr>
      </w:pPr>
      <w:r w:rsidRPr="00F065EA">
        <w:rPr>
          <w:rFonts w:ascii="仿宋" w:eastAsia="仿宋" w:hAnsi="仿宋" w:cs="Tahoma"/>
          <w:b/>
          <w:color w:val="000000" w:themeColor="text1"/>
          <w:kern w:val="0"/>
          <w:sz w:val="32"/>
          <w:szCs w:val="32"/>
        </w:rPr>
        <w:t>14.</w:t>
      </w:r>
      <w:r w:rsidRPr="00F065EA">
        <w:rPr>
          <w:rFonts w:ascii="仿宋" w:eastAsia="仿宋" w:hAnsi="仿宋" w:cs="Tahoma" w:hint="eastAsia"/>
          <w:b/>
          <w:color w:val="000000" w:themeColor="text1"/>
          <w:kern w:val="0"/>
          <w:sz w:val="32"/>
          <w:szCs w:val="32"/>
        </w:rPr>
        <w:t>全面从严治党研究：</w:t>
      </w:r>
      <w:r w:rsidRPr="00F065EA">
        <w:rPr>
          <w:rFonts w:ascii="仿宋" w:eastAsia="仿宋" w:hAnsi="仿宋" w:cs="Tahoma" w:hint="eastAsia"/>
          <w:color w:val="000000" w:themeColor="text1"/>
          <w:kern w:val="0"/>
          <w:sz w:val="32"/>
          <w:szCs w:val="32"/>
        </w:rPr>
        <w:t>围绕清廉浙江建设，大力推进党风廉政建设和反腐败斗争，坚定不移推动全面从严治党向纵深发展，努力建设干部清正、政府清廉、政治清明的浙江政治生态环境，在深化“两学一做”、推进纪检和监察体制改革、探索构建“三不”机制、浙江干部和纪检监察铁军打造、廉洁文化教育等方面，开展前瞻性、战略性咨询研究。</w:t>
      </w:r>
    </w:p>
    <w:sectPr w:rsidR="00FB7B99" w:rsidSect="004A48AA">
      <w:type w:val="continuous"/>
      <w:pgSz w:w="11906" w:h="16838"/>
      <w:pgMar w:top="1440" w:right="1644" w:bottom="1440" w:left="164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0F82" w:rsidRDefault="00970F82" w:rsidP="0033245D">
      <w:r>
        <w:separator/>
      </w:r>
    </w:p>
  </w:endnote>
  <w:endnote w:type="continuationSeparator" w:id="0">
    <w:p w:rsidR="00970F82" w:rsidRDefault="00970F82" w:rsidP="003324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default"/>
    <w:sig w:usb0="00000000" w:usb1="080E0000" w:usb2="00000000" w:usb3="00000000" w:csb0="0004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0F82" w:rsidRDefault="00970F82" w:rsidP="0033245D">
      <w:r>
        <w:separator/>
      </w:r>
    </w:p>
  </w:footnote>
  <w:footnote w:type="continuationSeparator" w:id="0">
    <w:p w:rsidR="00970F82" w:rsidRDefault="00970F82" w:rsidP="003324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466BA"/>
    <w:multiLevelType w:val="hybridMultilevel"/>
    <w:tmpl w:val="3662CBCE"/>
    <w:lvl w:ilvl="0" w:tplc="AED4693A">
      <w:start w:val="5"/>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0A0E5B73"/>
    <w:multiLevelType w:val="hybridMultilevel"/>
    <w:tmpl w:val="E7986676"/>
    <w:lvl w:ilvl="0" w:tplc="41828C7C">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ACB2C6E"/>
    <w:multiLevelType w:val="hybridMultilevel"/>
    <w:tmpl w:val="A28A2074"/>
    <w:lvl w:ilvl="0" w:tplc="2A9C01FC">
      <w:start w:val="1"/>
      <w:numFmt w:val="decimal"/>
      <w:lvlText w:val="%1、"/>
      <w:lvlJc w:val="left"/>
      <w:pPr>
        <w:tabs>
          <w:tab w:val="num" w:pos="780"/>
        </w:tabs>
        <w:ind w:left="780" w:hanging="360"/>
      </w:pPr>
      <w:rPr>
        <w:rFonts w:hint="eastAsia"/>
        <w:color w:val="auto"/>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3">
    <w:nsid w:val="0EC60646"/>
    <w:multiLevelType w:val="hybridMultilevel"/>
    <w:tmpl w:val="34C25170"/>
    <w:lvl w:ilvl="0" w:tplc="35160496">
      <w:start w:val="1"/>
      <w:numFmt w:val="japaneseCounting"/>
      <w:lvlText w:val="%1、"/>
      <w:lvlJc w:val="left"/>
      <w:pPr>
        <w:tabs>
          <w:tab w:val="num" w:pos="840"/>
        </w:tabs>
        <w:ind w:left="840" w:hanging="420"/>
      </w:pPr>
      <w:rPr>
        <w:rFonts w:hint="eastAsia"/>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4">
    <w:nsid w:val="1B3E5891"/>
    <w:multiLevelType w:val="hybridMultilevel"/>
    <w:tmpl w:val="AB22AB74"/>
    <w:lvl w:ilvl="0" w:tplc="12F6BB6E">
      <w:start w:val="1"/>
      <w:numFmt w:val="decimal"/>
      <w:lvlText w:val="%1."/>
      <w:lvlJc w:val="left"/>
      <w:pPr>
        <w:tabs>
          <w:tab w:val="num" w:pos="360"/>
        </w:tabs>
        <w:ind w:left="360" w:hanging="360"/>
      </w:pPr>
      <w:rPr>
        <w:rFonts w:ascii="Times New Roman" w:eastAsia="Times New Roman" w:hAnsi="Times New Roman" w:cs="Times New Roman"/>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267D3DB5"/>
    <w:multiLevelType w:val="hybridMultilevel"/>
    <w:tmpl w:val="892010D0"/>
    <w:lvl w:ilvl="0" w:tplc="530ED39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7A52615"/>
    <w:multiLevelType w:val="hybridMultilevel"/>
    <w:tmpl w:val="3954A7DA"/>
    <w:lvl w:ilvl="0" w:tplc="67302C3A">
      <w:start w:val="1"/>
      <w:numFmt w:val="decimal"/>
      <w:lvlText w:val="%1、"/>
      <w:lvlJc w:val="left"/>
      <w:pPr>
        <w:tabs>
          <w:tab w:val="num" w:pos="780"/>
        </w:tabs>
        <w:ind w:left="780" w:hanging="360"/>
      </w:pPr>
      <w:rPr>
        <w:rFonts w:hint="eastAsia"/>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7">
    <w:nsid w:val="29A96583"/>
    <w:multiLevelType w:val="hybridMultilevel"/>
    <w:tmpl w:val="43F441FE"/>
    <w:lvl w:ilvl="0" w:tplc="0D9C9FE6">
      <w:start w:val="1"/>
      <w:numFmt w:val="decimal"/>
      <w:lvlText w:val="%1．"/>
      <w:lvlJc w:val="left"/>
      <w:pPr>
        <w:ind w:left="360" w:hanging="360"/>
      </w:pPr>
      <w:rPr>
        <w:rFonts w:ascii="宋体" w:eastAsia="宋体" w:hAnsi="宋体" w:cs="Times New Roman"/>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2CA57D00"/>
    <w:multiLevelType w:val="hybridMultilevel"/>
    <w:tmpl w:val="5D064538"/>
    <w:lvl w:ilvl="0" w:tplc="23E8D9BA">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nsid w:val="2EA63FE7"/>
    <w:multiLevelType w:val="multilevel"/>
    <w:tmpl w:val="9DEE29C4"/>
    <w:lvl w:ilvl="0">
      <w:start w:val="2"/>
      <w:numFmt w:val="decimal"/>
      <w:lvlText w:val="%1"/>
      <w:lvlJc w:val="left"/>
      <w:pPr>
        <w:tabs>
          <w:tab w:val="num" w:pos="495"/>
        </w:tabs>
        <w:ind w:left="495" w:hanging="495"/>
      </w:pPr>
      <w:rPr>
        <w:rFonts w:ascii="Times New Roman" w:hint="eastAsia"/>
      </w:rPr>
    </w:lvl>
    <w:lvl w:ilvl="1">
      <w:start w:val="2"/>
      <w:numFmt w:val="decimal"/>
      <w:lvlText w:val="%1-%2"/>
      <w:lvlJc w:val="left"/>
      <w:pPr>
        <w:tabs>
          <w:tab w:val="num" w:pos="495"/>
        </w:tabs>
        <w:ind w:left="495" w:hanging="495"/>
      </w:pPr>
      <w:rPr>
        <w:rFonts w:ascii="Times New Roman" w:hint="eastAsia"/>
      </w:rPr>
    </w:lvl>
    <w:lvl w:ilvl="2">
      <w:start w:val="1"/>
      <w:numFmt w:val="decimal"/>
      <w:lvlText w:val="%1-%2.%3"/>
      <w:lvlJc w:val="left"/>
      <w:pPr>
        <w:tabs>
          <w:tab w:val="num" w:pos="720"/>
        </w:tabs>
        <w:ind w:left="720" w:hanging="720"/>
      </w:pPr>
      <w:rPr>
        <w:rFonts w:ascii="Times New Roman" w:hint="eastAsia"/>
      </w:rPr>
    </w:lvl>
    <w:lvl w:ilvl="3">
      <w:start w:val="1"/>
      <w:numFmt w:val="decimal"/>
      <w:lvlText w:val="%1-%2.%3.%4"/>
      <w:lvlJc w:val="left"/>
      <w:pPr>
        <w:tabs>
          <w:tab w:val="num" w:pos="720"/>
        </w:tabs>
        <w:ind w:left="720" w:hanging="720"/>
      </w:pPr>
      <w:rPr>
        <w:rFonts w:ascii="Times New Roman" w:hint="eastAsia"/>
      </w:rPr>
    </w:lvl>
    <w:lvl w:ilvl="4">
      <w:start w:val="1"/>
      <w:numFmt w:val="decimal"/>
      <w:lvlText w:val="%1-%2.%3.%4.%5"/>
      <w:lvlJc w:val="left"/>
      <w:pPr>
        <w:tabs>
          <w:tab w:val="num" w:pos="1080"/>
        </w:tabs>
        <w:ind w:left="1080" w:hanging="1080"/>
      </w:pPr>
      <w:rPr>
        <w:rFonts w:ascii="Times New Roman" w:hint="eastAsia"/>
      </w:rPr>
    </w:lvl>
    <w:lvl w:ilvl="5">
      <w:start w:val="1"/>
      <w:numFmt w:val="decimal"/>
      <w:lvlText w:val="%1-%2.%3.%4.%5.%6"/>
      <w:lvlJc w:val="left"/>
      <w:pPr>
        <w:tabs>
          <w:tab w:val="num" w:pos="1080"/>
        </w:tabs>
        <w:ind w:left="1080" w:hanging="1080"/>
      </w:pPr>
      <w:rPr>
        <w:rFonts w:ascii="Times New Roman" w:hint="eastAsia"/>
      </w:rPr>
    </w:lvl>
    <w:lvl w:ilvl="6">
      <w:start w:val="1"/>
      <w:numFmt w:val="decimal"/>
      <w:lvlText w:val="%1-%2.%3.%4.%5.%6.%7"/>
      <w:lvlJc w:val="left"/>
      <w:pPr>
        <w:tabs>
          <w:tab w:val="num" w:pos="1080"/>
        </w:tabs>
        <w:ind w:left="1080" w:hanging="1080"/>
      </w:pPr>
      <w:rPr>
        <w:rFonts w:ascii="Times New Roman" w:hint="eastAsia"/>
      </w:rPr>
    </w:lvl>
    <w:lvl w:ilvl="7">
      <w:start w:val="1"/>
      <w:numFmt w:val="decimal"/>
      <w:lvlText w:val="%1-%2.%3.%4.%5.%6.%7.%8"/>
      <w:lvlJc w:val="left"/>
      <w:pPr>
        <w:tabs>
          <w:tab w:val="num" w:pos="1440"/>
        </w:tabs>
        <w:ind w:left="1440" w:hanging="1440"/>
      </w:pPr>
      <w:rPr>
        <w:rFonts w:ascii="Times New Roman" w:hint="eastAsia"/>
      </w:rPr>
    </w:lvl>
    <w:lvl w:ilvl="8">
      <w:start w:val="1"/>
      <w:numFmt w:val="decimal"/>
      <w:lvlText w:val="%1-%2.%3.%4.%5.%6.%7.%8.%9"/>
      <w:lvlJc w:val="left"/>
      <w:pPr>
        <w:tabs>
          <w:tab w:val="num" w:pos="1440"/>
        </w:tabs>
        <w:ind w:left="1440" w:hanging="1440"/>
      </w:pPr>
      <w:rPr>
        <w:rFonts w:ascii="Times New Roman" w:hint="eastAsia"/>
      </w:rPr>
    </w:lvl>
  </w:abstractNum>
  <w:abstractNum w:abstractNumId="10">
    <w:nsid w:val="310D063C"/>
    <w:multiLevelType w:val="hybridMultilevel"/>
    <w:tmpl w:val="6C94D076"/>
    <w:lvl w:ilvl="0" w:tplc="83749166">
      <w:start w:val="5"/>
      <w:numFmt w:val="japaneseCounting"/>
      <w:lvlText w:val="第%1章"/>
      <w:lvlJc w:val="left"/>
      <w:pPr>
        <w:tabs>
          <w:tab w:val="num" w:pos="1410"/>
        </w:tabs>
        <w:ind w:left="1410" w:hanging="141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nsid w:val="37CA010E"/>
    <w:multiLevelType w:val="multilevel"/>
    <w:tmpl w:val="F69EAA26"/>
    <w:lvl w:ilvl="0">
      <w:start w:val="1"/>
      <w:numFmt w:val="decimal"/>
      <w:lvlText w:val="%1．"/>
      <w:lvlJc w:val="left"/>
      <w:pPr>
        <w:tabs>
          <w:tab w:val="num" w:pos="780"/>
        </w:tabs>
        <w:ind w:left="780" w:hanging="360"/>
      </w:pPr>
      <w:rPr>
        <w:rFonts w:hint="eastAsia"/>
      </w:r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12">
    <w:nsid w:val="40CE5E55"/>
    <w:multiLevelType w:val="multilevel"/>
    <w:tmpl w:val="63CE3B96"/>
    <w:lvl w:ilvl="0">
      <w:start w:val="5"/>
      <w:numFmt w:val="decimal"/>
      <w:lvlText w:val="%1"/>
      <w:lvlJc w:val="left"/>
      <w:pPr>
        <w:tabs>
          <w:tab w:val="num" w:pos="510"/>
        </w:tabs>
        <w:ind w:left="510" w:hanging="510"/>
      </w:pPr>
      <w:rPr>
        <w:rFonts w:hint="default"/>
      </w:rPr>
    </w:lvl>
    <w:lvl w:ilvl="1">
      <w:start w:val="5"/>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nsid w:val="413F55A4"/>
    <w:multiLevelType w:val="multilevel"/>
    <w:tmpl w:val="AB22AB74"/>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4">
    <w:nsid w:val="4BEC7001"/>
    <w:multiLevelType w:val="hybridMultilevel"/>
    <w:tmpl w:val="F69EAA26"/>
    <w:lvl w:ilvl="0" w:tplc="2E164950">
      <w:start w:val="1"/>
      <w:numFmt w:val="decimal"/>
      <w:lvlText w:val="%1．"/>
      <w:lvlJc w:val="left"/>
      <w:pPr>
        <w:tabs>
          <w:tab w:val="num" w:pos="780"/>
        </w:tabs>
        <w:ind w:left="780" w:hanging="360"/>
      </w:pPr>
      <w:rPr>
        <w:rFonts w:hint="eastAsia"/>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15">
    <w:nsid w:val="4DD76C1C"/>
    <w:multiLevelType w:val="hybridMultilevel"/>
    <w:tmpl w:val="660A20FE"/>
    <w:lvl w:ilvl="0" w:tplc="0409000F">
      <w:start w:val="1"/>
      <w:numFmt w:val="decimal"/>
      <w:lvlText w:val="%1."/>
      <w:lvlJc w:val="left"/>
      <w:pPr>
        <w:tabs>
          <w:tab w:val="num" w:pos="840"/>
        </w:tabs>
        <w:ind w:left="840" w:hanging="420"/>
      </w:p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16">
    <w:nsid w:val="57397D65"/>
    <w:multiLevelType w:val="hybridMultilevel"/>
    <w:tmpl w:val="3648B1E8"/>
    <w:lvl w:ilvl="0" w:tplc="C302D028">
      <w:start w:val="1"/>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17">
    <w:nsid w:val="59AC6E37"/>
    <w:multiLevelType w:val="hybridMultilevel"/>
    <w:tmpl w:val="B7D03686"/>
    <w:lvl w:ilvl="0" w:tplc="4E0C9B5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8">
    <w:nsid w:val="5B3722A3"/>
    <w:multiLevelType w:val="hybridMultilevel"/>
    <w:tmpl w:val="4A90DDB0"/>
    <w:lvl w:ilvl="0" w:tplc="91026904">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9">
    <w:nsid w:val="5CB54AE6"/>
    <w:multiLevelType w:val="hybridMultilevel"/>
    <w:tmpl w:val="57724B4E"/>
    <w:lvl w:ilvl="0" w:tplc="4C967606">
      <w:start w:val="1"/>
      <w:numFmt w:val="decimal"/>
      <w:lvlText w:val="%1."/>
      <w:lvlJc w:val="left"/>
      <w:pPr>
        <w:tabs>
          <w:tab w:val="num" w:pos="360"/>
        </w:tabs>
        <w:ind w:left="360" w:hanging="360"/>
      </w:pPr>
      <w:rPr>
        <w:rFonts w:ascii="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nsid w:val="5EC56701"/>
    <w:multiLevelType w:val="multilevel"/>
    <w:tmpl w:val="F69EAA26"/>
    <w:lvl w:ilvl="0">
      <w:start w:val="1"/>
      <w:numFmt w:val="decimal"/>
      <w:lvlText w:val="%1．"/>
      <w:lvlJc w:val="left"/>
      <w:pPr>
        <w:tabs>
          <w:tab w:val="num" w:pos="780"/>
        </w:tabs>
        <w:ind w:left="780" w:hanging="360"/>
      </w:pPr>
      <w:rPr>
        <w:rFonts w:hint="eastAsia"/>
      </w:r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21">
    <w:nsid w:val="70B76365"/>
    <w:multiLevelType w:val="hybridMultilevel"/>
    <w:tmpl w:val="EEE8FA16"/>
    <w:lvl w:ilvl="0" w:tplc="73C249A0">
      <w:start w:val="1"/>
      <w:numFmt w:val="japaneseCounting"/>
      <w:lvlText w:val="%1、"/>
      <w:lvlJc w:val="left"/>
      <w:pPr>
        <w:tabs>
          <w:tab w:val="num" w:pos="420"/>
        </w:tabs>
        <w:ind w:left="420" w:hanging="4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5"/>
  </w:num>
  <w:num w:numId="2">
    <w:abstractNumId w:val="4"/>
  </w:num>
  <w:num w:numId="3">
    <w:abstractNumId w:val="13"/>
  </w:num>
  <w:num w:numId="4">
    <w:abstractNumId w:val="10"/>
  </w:num>
  <w:num w:numId="5">
    <w:abstractNumId w:val="19"/>
  </w:num>
  <w:num w:numId="6">
    <w:abstractNumId w:val="16"/>
  </w:num>
  <w:num w:numId="7">
    <w:abstractNumId w:val="6"/>
  </w:num>
  <w:num w:numId="8">
    <w:abstractNumId w:val="15"/>
  </w:num>
  <w:num w:numId="9">
    <w:abstractNumId w:val="2"/>
  </w:num>
  <w:num w:numId="10">
    <w:abstractNumId w:val="9"/>
  </w:num>
  <w:num w:numId="11">
    <w:abstractNumId w:val="3"/>
  </w:num>
  <w:num w:numId="12">
    <w:abstractNumId w:val="14"/>
  </w:num>
  <w:num w:numId="13">
    <w:abstractNumId w:val="8"/>
  </w:num>
  <w:num w:numId="14">
    <w:abstractNumId w:val="20"/>
  </w:num>
  <w:num w:numId="15">
    <w:abstractNumId w:val="11"/>
  </w:num>
  <w:num w:numId="16">
    <w:abstractNumId w:val="12"/>
  </w:num>
  <w:num w:numId="17">
    <w:abstractNumId w:val="0"/>
  </w:num>
  <w:num w:numId="18">
    <w:abstractNumId w:val="21"/>
  </w:num>
  <w:num w:numId="19">
    <w:abstractNumId w:val="17"/>
  </w:num>
  <w:num w:numId="20">
    <w:abstractNumId w:val="18"/>
  </w:num>
  <w:num w:numId="21">
    <w:abstractNumId w:val="7"/>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45D"/>
    <w:rsid w:val="00001109"/>
    <w:rsid w:val="00002DF4"/>
    <w:rsid w:val="00012E1B"/>
    <w:rsid w:val="00026ADC"/>
    <w:rsid w:val="00027799"/>
    <w:rsid w:val="00060B9B"/>
    <w:rsid w:val="00067D71"/>
    <w:rsid w:val="0007502A"/>
    <w:rsid w:val="00086AD4"/>
    <w:rsid w:val="000A2D5D"/>
    <w:rsid w:val="000A5729"/>
    <w:rsid w:val="001015CA"/>
    <w:rsid w:val="00120617"/>
    <w:rsid w:val="00132E9D"/>
    <w:rsid w:val="00170521"/>
    <w:rsid w:val="00185F32"/>
    <w:rsid w:val="001A2C13"/>
    <w:rsid w:val="001A5949"/>
    <w:rsid w:val="001C1BCF"/>
    <w:rsid w:val="001C4F56"/>
    <w:rsid w:val="001D19B2"/>
    <w:rsid w:val="001E525F"/>
    <w:rsid w:val="001F246B"/>
    <w:rsid w:val="002053E6"/>
    <w:rsid w:val="00207857"/>
    <w:rsid w:val="002133AB"/>
    <w:rsid w:val="00221731"/>
    <w:rsid w:val="00254EBD"/>
    <w:rsid w:val="002732AA"/>
    <w:rsid w:val="002C33C6"/>
    <w:rsid w:val="002C6786"/>
    <w:rsid w:val="0031488D"/>
    <w:rsid w:val="00320703"/>
    <w:rsid w:val="00324DFF"/>
    <w:rsid w:val="0033245D"/>
    <w:rsid w:val="003439E2"/>
    <w:rsid w:val="003536BC"/>
    <w:rsid w:val="003575CF"/>
    <w:rsid w:val="003A6959"/>
    <w:rsid w:val="003E16CB"/>
    <w:rsid w:val="003E72FF"/>
    <w:rsid w:val="003F104C"/>
    <w:rsid w:val="00410105"/>
    <w:rsid w:val="00442855"/>
    <w:rsid w:val="004857B9"/>
    <w:rsid w:val="004A48AA"/>
    <w:rsid w:val="004C1363"/>
    <w:rsid w:val="004C21F3"/>
    <w:rsid w:val="004C2A16"/>
    <w:rsid w:val="004D71AC"/>
    <w:rsid w:val="005062AC"/>
    <w:rsid w:val="005424CB"/>
    <w:rsid w:val="00556CE3"/>
    <w:rsid w:val="0057691B"/>
    <w:rsid w:val="00582E95"/>
    <w:rsid w:val="00592A0A"/>
    <w:rsid w:val="005B5AC7"/>
    <w:rsid w:val="005D7D9C"/>
    <w:rsid w:val="005E072F"/>
    <w:rsid w:val="00651A52"/>
    <w:rsid w:val="0066649D"/>
    <w:rsid w:val="006C0BC3"/>
    <w:rsid w:val="006E3454"/>
    <w:rsid w:val="00731260"/>
    <w:rsid w:val="007371F2"/>
    <w:rsid w:val="007500C5"/>
    <w:rsid w:val="007570CA"/>
    <w:rsid w:val="00761227"/>
    <w:rsid w:val="00763025"/>
    <w:rsid w:val="007763A4"/>
    <w:rsid w:val="00787E52"/>
    <w:rsid w:val="007D0937"/>
    <w:rsid w:val="007E2987"/>
    <w:rsid w:val="00802786"/>
    <w:rsid w:val="0080457E"/>
    <w:rsid w:val="0082792B"/>
    <w:rsid w:val="00842C2B"/>
    <w:rsid w:val="008612DB"/>
    <w:rsid w:val="00893A05"/>
    <w:rsid w:val="008969FC"/>
    <w:rsid w:val="008C59E5"/>
    <w:rsid w:val="009155B6"/>
    <w:rsid w:val="009421DE"/>
    <w:rsid w:val="009479E7"/>
    <w:rsid w:val="00970F82"/>
    <w:rsid w:val="009C06D3"/>
    <w:rsid w:val="009C5EC5"/>
    <w:rsid w:val="009E63A0"/>
    <w:rsid w:val="00A0512E"/>
    <w:rsid w:val="00A05F11"/>
    <w:rsid w:val="00A172B8"/>
    <w:rsid w:val="00A3088A"/>
    <w:rsid w:val="00A408E3"/>
    <w:rsid w:val="00A630D2"/>
    <w:rsid w:val="00A97267"/>
    <w:rsid w:val="00AA30F2"/>
    <w:rsid w:val="00B408DD"/>
    <w:rsid w:val="00B77ECD"/>
    <w:rsid w:val="00B8161B"/>
    <w:rsid w:val="00BF1A34"/>
    <w:rsid w:val="00BF61CD"/>
    <w:rsid w:val="00C07299"/>
    <w:rsid w:val="00C23C9C"/>
    <w:rsid w:val="00C516E2"/>
    <w:rsid w:val="00C5515F"/>
    <w:rsid w:val="00C82D73"/>
    <w:rsid w:val="00C869AD"/>
    <w:rsid w:val="00CA24F6"/>
    <w:rsid w:val="00CC340C"/>
    <w:rsid w:val="00CE366A"/>
    <w:rsid w:val="00CE5069"/>
    <w:rsid w:val="00CF054C"/>
    <w:rsid w:val="00CF1629"/>
    <w:rsid w:val="00D07F09"/>
    <w:rsid w:val="00D1288F"/>
    <w:rsid w:val="00D35140"/>
    <w:rsid w:val="00D46821"/>
    <w:rsid w:val="00D46E83"/>
    <w:rsid w:val="00D80E05"/>
    <w:rsid w:val="00D86BD8"/>
    <w:rsid w:val="00D875D7"/>
    <w:rsid w:val="00DA7202"/>
    <w:rsid w:val="00DB33BB"/>
    <w:rsid w:val="00DE00F3"/>
    <w:rsid w:val="00DE1292"/>
    <w:rsid w:val="00DF7DEE"/>
    <w:rsid w:val="00E448EB"/>
    <w:rsid w:val="00E46C61"/>
    <w:rsid w:val="00E62A52"/>
    <w:rsid w:val="00E73581"/>
    <w:rsid w:val="00E86E60"/>
    <w:rsid w:val="00E87FDE"/>
    <w:rsid w:val="00EA208E"/>
    <w:rsid w:val="00EB6613"/>
    <w:rsid w:val="00ED0EA8"/>
    <w:rsid w:val="00EE095B"/>
    <w:rsid w:val="00EE35C9"/>
    <w:rsid w:val="00F014A0"/>
    <w:rsid w:val="00F01529"/>
    <w:rsid w:val="00F04E9E"/>
    <w:rsid w:val="00F065EA"/>
    <w:rsid w:val="00F204E3"/>
    <w:rsid w:val="00F50D2B"/>
    <w:rsid w:val="00F8365E"/>
    <w:rsid w:val="00F842B5"/>
    <w:rsid w:val="00F85F2E"/>
    <w:rsid w:val="00F913EC"/>
    <w:rsid w:val="00FA564C"/>
    <w:rsid w:val="00FA5B85"/>
    <w:rsid w:val="00FB7B57"/>
    <w:rsid w:val="00FB7B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FCD198A-C508-4596-BCCF-55B8E3EDC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qFormat/>
    <w:rsid w:val="005E072F"/>
    <w:pPr>
      <w:keepNext/>
      <w:keepLines/>
      <w:spacing w:before="340" w:after="330" w:line="578" w:lineRule="auto"/>
      <w:outlineLvl w:val="0"/>
    </w:pPr>
    <w:rPr>
      <w:rFonts w:ascii="Times New Roman" w:eastAsia="宋体" w:hAnsi="Times New Roman" w:cs="Times New Roman"/>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3245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3245D"/>
    <w:rPr>
      <w:sz w:val="18"/>
      <w:szCs w:val="18"/>
    </w:rPr>
  </w:style>
  <w:style w:type="paragraph" w:styleId="a4">
    <w:name w:val="footer"/>
    <w:basedOn w:val="a"/>
    <w:link w:val="Char0"/>
    <w:uiPriority w:val="99"/>
    <w:unhideWhenUsed/>
    <w:rsid w:val="0033245D"/>
    <w:pPr>
      <w:tabs>
        <w:tab w:val="center" w:pos="4153"/>
        <w:tab w:val="right" w:pos="8306"/>
      </w:tabs>
      <w:snapToGrid w:val="0"/>
      <w:jc w:val="left"/>
    </w:pPr>
    <w:rPr>
      <w:sz w:val="18"/>
      <w:szCs w:val="18"/>
    </w:rPr>
  </w:style>
  <w:style w:type="character" w:customStyle="1" w:styleId="Char0">
    <w:name w:val="页脚 Char"/>
    <w:basedOn w:val="a0"/>
    <w:link w:val="a4"/>
    <w:uiPriority w:val="99"/>
    <w:rsid w:val="0033245D"/>
    <w:rPr>
      <w:sz w:val="18"/>
      <w:szCs w:val="18"/>
    </w:rPr>
  </w:style>
  <w:style w:type="character" w:styleId="a5">
    <w:name w:val="footnote reference"/>
    <w:uiPriority w:val="99"/>
    <w:semiHidden/>
    <w:rsid w:val="0033245D"/>
    <w:rPr>
      <w:rFonts w:cs="Times New Roman"/>
      <w:vertAlign w:val="superscript"/>
    </w:rPr>
  </w:style>
  <w:style w:type="paragraph" w:styleId="a6">
    <w:name w:val="Balloon Text"/>
    <w:basedOn w:val="a"/>
    <w:link w:val="Char1"/>
    <w:semiHidden/>
    <w:unhideWhenUsed/>
    <w:rsid w:val="0066649D"/>
    <w:rPr>
      <w:sz w:val="18"/>
      <w:szCs w:val="18"/>
    </w:rPr>
  </w:style>
  <w:style w:type="character" w:customStyle="1" w:styleId="Char1">
    <w:name w:val="批注框文本 Char"/>
    <w:basedOn w:val="a0"/>
    <w:link w:val="a6"/>
    <w:semiHidden/>
    <w:rsid w:val="0066649D"/>
    <w:rPr>
      <w:sz w:val="18"/>
      <w:szCs w:val="18"/>
    </w:rPr>
  </w:style>
  <w:style w:type="paragraph" w:customStyle="1" w:styleId="10">
    <w:name w:val="列出段落1"/>
    <w:basedOn w:val="a"/>
    <w:uiPriority w:val="34"/>
    <w:qFormat/>
    <w:rsid w:val="003A6959"/>
    <w:pPr>
      <w:ind w:firstLineChars="200" w:firstLine="420"/>
    </w:pPr>
    <w:rPr>
      <w:rFonts w:ascii="Calibri" w:eastAsia="宋体" w:hAnsi="Calibri" w:cs="宋体"/>
    </w:rPr>
  </w:style>
  <w:style w:type="paragraph" w:styleId="a7">
    <w:name w:val="Normal (Web)"/>
    <w:basedOn w:val="a"/>
    <w:uiPriority w:val="99"/>
    <w:unhideWhenUsed/>
    <w:rsid w:val="007500C5"/>
    <w:pPr>
      <w:widowControl/>
      <w:spacing w:before="100" w:beforeAutospacing="1" w:after="100" w:afterAutospacing="1"/>
      <w:jc w:val="left"/>
    </w:pPr>
    <w:rPr>
      <w:rFonts w:ascii="宋体" w:eastAsia="宋体" w:hAnsi="宋体" w:cs="宋体"/>
      <w:kern w:val="0"/>
      <w:sz w:val="24"/>
      <w:szCs w:val="24"/>
    </w:rPr>
  </w:style>
  <w:style w:type="paragraph" w:styleId="a8">
    <w:name w:val="List Paragraph"/>
    <w:basedOn w:val="a"/>
    <w:uiPriority w:val="34"/>
    <w:qFormat/>
    <w:rsid w:val="001C1BCF"/>
    <w:pPr>
      <w:ind w:firstLineChars="200" w:firstLine="420"/>
    </w:pPr>
  </w:style>
  <w:style w:type="paragraph" w:styleId="2">
    <w:name w:val="Body Text Indent 2"/>
    <w:basedOn w:val="a"/>
    <w:link w:val="2Char"/>
    <w:rsid w:val="001C1BCF"/>
    <w:pPr>
      <w:spacing w:line="440" w:lineRule="exact"/>
      <w:ind w:firstLineChars="204" w:firstLine="571"/>
    </w:pPr>
    <w:rPr>
      <w:rFonts w:ascii="仿宋_GB2312" w:eastAsia="仿宋_GB2312" w:hAnsi="Times New Roman" w:cs="Times New Roman"/>
      <w:sz w:val="28"/>
      <w:szCs w:val="24"/>
    </w:rPr>
  </w:style>
  <w:style w:type="character" w:customStyle="1" w:styleId="2Char">
    <w:name w:val="正文文本缩进 2 Char"/>
    <w:basedOn w:val="a0"/>
    <w:link w:val="2"/>
    <w:rsid w:val="001C1BCF"/>
    <w:rPr>
      <w:rFonts w:ascii="仿宋_GB2312" w:eastAsia="仿宋_GB2312" w:hAnsi="Times New Roman" w:cs="Times New Roman"/>
      <w:sz w:val="28"/>
      <w:szCs w:val="24"/>
    </w:rPr>
  </w:style>
  <w:style w:type="paragraph" w:styleId="a9">
    <w:name w:val="No Spacing"/>
    <w:uiPriority w:val="1"/>
    <w:qFormat/>
    <w:rsid w:val="001C1BCF"/>
    <w:pPr>
      <w:widowControl w:val="0"/>
      <w:jc w:val="both"/>
    </w:pPr>
  </w:style>
  <w:style w:type="paragraph" w:styleId="aa">
    <w:name w:val="Date"/>
    <w:basedOn w:val="a"/>
    <w:next w:val="a"/>
    <w:link w:val="Char2"/>
    <w:unhideWhenUsed/>
    <w:rsid w:val="00731260"/>
    <w:pPr>
      <w:ind w:leftChars="2500" w:left="100"/>
    </w:pPr>
  </w:style>
  <w:style w:type="character" w:customStyle="1" w:styleId="Char2">
    <w:name w:val="日期 Char"/>
    <w:basedOn w:val="a0"/>
    <w:link w:val="aa"/>
    <w:rsid w:val="00731260"/>
  </w:style>
  <w:style w:type="character" w:customStyle="1" w:styleId="1Char">
    <w:name w:val="标题 1 Char"/>
    <w:basedOn w:val="a0"/>
    <w:link w:val="1"/>
    <w:rsid w:val="005E072F"/>
    <w:rPr>
      <w:rFonts w:ascii="Times New Roman" w:eastAsia="宋体" w:hAnsi="Times New Roman" w:cs="Times New Roman"/>
      <w:b/>
      <w:bCs/>
      <w:kern w:val="44"/>
      <w:sz w:val="44"/>
      <w:szCs w:val="44"/>
    </w:rPr>
  </w:style>
  <w:style w:type="paragraph" w:styleId="ab">
    <w:name w:val="Body Text"/>
    <w:basedOn w:val="a"/>
    <w:link w:val="Char3"/>
    <w:rsid w:val="005E072F"/>
    <w:pPr>
      <w:spacing w:after="120"/>
    </w:pPr>
    <w:rPr>
      <w:rFonts w:ascii="Times New Roman" w:eastAsia="宋体" w:hAnsi="Times New Roman" w:cs="Times New Roman"/>
      <w:szCs w:val="24"/>
    </w:rPr>
  </w:style>
  <w:style w:type="character" w:customStyle="1" w:styleId="Char3">
    <w:name w:val="正文文本 Char"/>
    <w:basedOn w:val="a0"/>
    <w:link w:val="ab"/>
    <w:rsid w:val="005E072F"/>
    <w:rPr>
      <w:rFonts w:ascii="Times New Roman" w:eastAsia="宋体" w:hAnsi="Times New Roman" w:cs="Times New Roman"/>
      <w:szCs w:val="24"/>
    </w:rPr>
  </w:style>
  <w:style w:type="paragraph" w:styleId="20">
    <w:name w:val="Body Text 2"/>
    <w:basedOn w:val="a"/>
    <w:link w:val="2Char0"/>
    <w:rsid w:val="005E072F"/>
    <w:pPr>
      <w:spacing w:after="120" w:line="480" w:lineRule="auto"/>
    </w:pPr>
    <w:rPr>
      <w:rFonts w:ascii="Times New Roman" w:eastAsia="宋体" w:hAnsi="Times New Roman" w:cs="Times New Roman"/>
      <w:szCs w:val="24"/>
    </w:rPr>
  </w:style>
  <w:style w:type="character" w:customStyle="1" w:styleId="2Char0">
    <w:name w:val="正文文本 2 Char"/>
    <w:basedOn w:val="a0"/>
    <w:link w:val="20"/>
    <w:rsid w:val="005E072F"/>
    <w:rPr>
      <w:rFonts w:ascii="Times New Roman" w:eastAsia="宋体" w:hAnsi="Times New Roman" w:cs="Times New Roman"/>
      <w:szCs w:val="24"/>
    </w:rPr>
  </w:style>
  <w:style w:type="character" w:styleId="ac">
    <w:name w:val="page number"/>
    <w:basedOn w:val="a0"/>
    <w:rsid w:val="005E072F"/>
  </w:style>
  <w:style w:type="paragraph" w:styleId="ad">
    <w:name w:val="Body Text Indent"/>
    <w:basedOn w:val="a"/>
    <w:link w:val="Char4"/>
    <w:rsid w:val="005E072F"/>
    <w:pPr>
      <w:spacing w:after="120"/>
      <w:ind w:leftChars="200" w:left="420"/>
    </w:pPr>
    <w:rPr>
      <w:rFonts w:ascii="Times New Roman" w:eastAsia="宋体" w:hAnsi="Times New Roman" w:cs="Times New Roman"/>
      <w:szCs w:val="24"/>
    </w:rPr>
  </w:style>
  <w:style w:type="character" w:customStyle="1" w:styleId="Char4">
    <w:name w:val="正文文本缩进 Char"/>
    <w:basedOn w:val="a0"/>
    <w:link w:val="ad"/>
    <w:rsid w:val="005E072F"/>
    <w:rPr>
      <w:rFonts w:ascii="Times New Roman" w:eastAsia="宋体" w:hAnsi="Times New Roman" w:cs="Times New Roman"/>
      <w:szCs w:val="24"/>
    </w:rPr>
  </w:style>
  <w:style w:type="character" w:styleId="ae">
    <w:name w:val="Hyperlink"/>
    <w:uiPriority w:val="99"/>
    <w:rsid w:val="005E072F"/>
    <w:rPr>
      <w:color w:val="0000FF"/>
      <w:u w:val="single"/>
    </w:rPr>
  </w:style>
  <w:style w:type="paragraph" w:styleId="3">
    <w:name w:val="Body Text Indent 3"/>
    <w:basedOn w:val="a"/>
    <w:link w:val="3Char"/>
    <w:rsid w:val="005E072F"/>
    <w:pPr>
      <w:spacing w:after="120"/>
      <w:ind w:leftChars="200" w:left="420"/>
    </w:pPr>
    <w:rPr>
      <w:rFonts w:ascii="Times New Roman" w:eastAsia="宋体" w:hAnsi="Times New Roman" w:cs="Times New Roman"/>
      <w:sz w:val="16"/>
      <w:szCs w:val="16"/>
    </w:rPr>
  </w:style>
  <w:style w:type="character" w:customStyle="1" w:styleId="3Char">
    <w:name w:val="正文文本缩进 3 Char"/>
    <w:basedOn w:val="a0"/>
    <w:link w:val="3"/>
    <w:rsid w:val="005E072F"/>
    <w:rPr>
      <w:rFonts w:ascii="Times New Roman" w:eastAsia="宋体" w:hAnsi="Times New Roman" w:cs="Times New Roman"/>
      <w:sz w:val="16"/>
      <w:szCs w:val="16"/>
    </w:rPr>
  </w:style>
  <w:style w:type="paragraph" w:customStyle="1" w:styleId="af">
    <w:name w:val="标准"/>
    <w:basedOn w:val="a"/>
    <w:rsid w:val="005E072F"/>
    <w:pPr>
      <w:adjustRightInd w:val="0"/>
      <w:spacing w:before="120" w:after="120" w:line="312" w:lineRule="atLeast"/>
      <w:textAlignment w:val="baseline"/>
    </w:pPr>
    <w:rPr>
      <w:rFonts w:ascii="宋体" w:eastAsia="宋体" w:hAnsi="Times New Roman" w:cs="Times New Roman"/>
      <w:kern w:val="0"/>
      <w:szCs w:val="20"/>
    </w:rPr>
  </w:style>
  <w:style w:type="table" w:styleId="af0">
    <w:name w:val="Table Grid"/>
    <w:basedOn w:val="a1"/>
    <w:rsid w:val="005E072F"/>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Document Map"/>
    <w:basedOn w:val="a"/>
    <w:link w:val="Char5"/>
    <w:semiHidden/>
    <w:rsid w:val="005E072F"/>
    <w:pPr>
      <w:shd w:val="clear" w:color="auto" w:fill="000080"/>
    </w:pPr>
    <w:rPr>
      <w:rFonts w:ascii="Times New Roman" w:eastAsia="宋体" w:hAnsi="Times New Roman" w:cs="Times New Roman"/>
      <w:szCs w:val="24"/>
    </w:rPr>
  </w:style>
  <w:style w:type="character" w:customStyle="1" w:styleId="Char5">
    <w:name w:val="文档结构图 Char"/>
    <w:basedOn w:val="a0"/>
    <w:link w:val="af1"/>
    <w:semiHidden/>
    <w:rsid w:val="005E072F"/>
    <w:rPr>
      <w:rFonts w:ascii="Times New Roman" w:eastAsia="宋体" w:hAnsi="Times New Roman" w:cs="Times New Roman"/>
      <w:szCs w:val="24"/>
      <w:shd w:val="clear" w:color="auto" w:fill="000080"/>
    </w:rPr>
  </w:style>
  <w:style w:type="paragraph" w:customStyle="1" w:styleId="ParaCharCharCharCharCharCharCharCharChar1CharCharCharCharCharCharChar">
    <w:name w:val="默认段落字体 Para Char Char Char Char Char Char Char Char Char1 Char Char Char Char Char Char Char"/>
    <w:basedOn w:val="af1"/>
    <w:autoRedefine/>
    <w:rsid w:val="005E072F"/>
    <w:rPr>
      <w:rFonts w:ascii="Tahoma" w:hAnsi="Tahoma"/>
      <w:sz w:val="24"/>
    </w:rPr>
  </w:style>
  <w:style w:type="paragraph" w:styleId="af2">
    <w:name w:val="Title"/>
    <w:basedOn w:val="a"/>
    <w:next w:val="a"/>
    <w:link w:val="Char6"/>
    <w:qFormat/>
    <w:rsid w:val="005E072F"/>
    <w:pPr>
      <w:spacing w:before="240" w:after="60"/>
      <w:jc w:val="center"/>
      <w:outlineLvl w:val="0"/>
    </w:pPr>
    <w:rPr>
      <w:rFonts w:ascii="Cambria" w:eastAsia="宋体" w:hAnsi="Cambria" w:cs="Times New Roman"/>
      <w:b/>
      <w:bCs/>
      <w:sz w:val="32"/>
      <w:szCs w:val="32"/>
    </w:rPr>
  </w:style>
  <w:style w:type="character" w:customStyle="1" w:styleId="Char6">
    <w:name w:val="标题 Char"/>
    <w:basedOn w:val="a0"/>
    <w:link w:val="af2"/>
    <w:rsid w:val="005E072F"/>
    <w:rPr>
      <w:rFonts w:ascii="Cambria" w:eastAsia="宋体" w:hAnsi="Cambria" w:cs="Times New Roman"/>
      <w:b/>
      <w:bCs/>
      <w:sz w:val="32"/>
      <w:szCs w:val="32"/>
    </w:rPr>
  </w:style>
  <w:style w:type="paragraph" w:styleId="af3">
    <w:name w:val="Subtitle"/>
    <w:basedOn w:val="a"/>
    <w:next w:val="a"/>
    <w:link w:val="Char7"/>
    <w:qFormat/>
    <w:rsid w:val="005E072F"/>
    <w:pPr>
      <w:spacing w:before="240" w:after="60" w:line="312" w:lineRule="auto"/>
      <w:jc w:val="center"/>
      <w:outlineLvl w:val="1"/>
    </w:pPr>
    <w:rPr>
      <w:rFonts w:ascii="Cambria" w:eastAsia="宋体" w:hAnsi="Cambria" w:cs="Times New Roman"/>
      <w:b/>
      <w:bCs/>
      <w:kern w:val="28"/>
      <w:sz w:val="32"/>
      <w:szCs w:val="32"/>
    </w:rPr>
  </w:style>
  <w:style w:type="character" w:customStyle="1" w:styleId="Char7">
    <w:name w:val="副标题 Char"/>
    <w:basedOn w:val="a0"/>
    <w:link w:val="af3"/>
    <w:rsid w:val="005E072F"/>
    <w:rPr>
      <w:rFonts w:ascii="Cambria" w:eastAsia="宋体" w:hAnsi="Cambria" w:cs="Times New Roman"/>
      <w:b/>
      <w:bCs/>
      <w:kern w:val="28"/>
      <w:sz w:val="32"/>
      <w:szCs w:val="32"/>
    </w:rPr>
  </w:style>
  <w:style w:type="paragraph" w:styleId="11">
    <w:name w:val="toc 1"/>
    <w:basedOn w:val="a"/>
    <w:next w:val="a"/>
    <w:autoRedefine/>
    <w:uiPriority w:val="39"/>
    <w:rsid w:val="005E072F"/>
    <w:pPr>
      <w:tabs>
        <w:tab w:val="right" w:leader="dot" w:pos="8296"/>
      </w:tabs>
      <w:spacing w:line="360" w:lineRule="auto"/>
    </w:pPr>
    <w:rPr>
      <w:rFonts w:ascii="Times New Roman" w:eastAsia="宋体" w:hAnsi="Times New Roman" w:cs="Times New Roman"/>
      <w:szCs w:val="24"/>
    </w:rPr>
  </w:style>
  <w:style w:type="paragraph" w:styleId="21">
    <w:name w:val="toc 2"/>
    <w:basedOn w:val="a"/>
    <w:next w:val="a"/>
    <w:autoRedefine/>
    <w:uiPriority w:val="39"/>
    <w:rsid w:val="005E072F"/>
    <w:pPr>
      <w:tabs>
        <w:tab w:val="right" w:leader="dot" w:pos="8296"/>
      </w:tabs>
      <w:spacing w:line="360" w:lineRule="auto"/>
      <w:ind w:leftChars="200" w:left="420"/>
    </w:pPr>
    <w:rPr>
      <w:rFonts w:ascii="Times New Roman" w:eastAsia="宋体" w:hAnsi="Times New Roman" w:cs="Times New Roman"/>
      <w:szCs w:val="24"/>
    </w:rPr>
  </w:style>
  <w:style w:type="character" w:styleId="af4">
    <w:name w:val="Strong"/>
    <w:uiPriority w:val="22"/>
    <w:qFormat/>
    <w:rsid w:val="005E072F"/>
    <w:rPr>
      <w:b/>
      <w:bCs/>
    </w:rPr>
  </w:style>
  <w:style w:type="character" w:styleId="af5">
    <w:name w:val="Emphasis"/>
    <w:uiPriority w:val="20"/>
    <w:qFormat/>
    <w:rsid w:val="005E072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267AF4-4298-451A-A448-F89B94A86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386</Words>
  <Characters>2204</Characters>
  <Application>Microsoft Office Word</Application>
  <DocSecurity>0</DocSecurity>
  <Lines>18</Lines>
  <Paragraphs>5</Paragraphs>
  <ScaleCrop>false</ScaleCrop>
  <Company>Microsoft</Company>
  <LinksUpToDate>false</LinksUpToDate>
  <CharactersWithSpaces>2585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Junting</dc:creator>
  <cp:lastModifiedBy>admin</cp:lastModifiedBy>
  <cp:revision>2</cp:revision>
  <cp:lastPrinted>2018-05-09T04:45:00Z</cp:lastPrinted>
  <dcterms:created xsi:type="dcterms:W3CDTF">2018-05-09T06:17:00Z</dcterms:created>
  <dcterms:modified xsi:type="dcterms:W3CDTF">2018-05-09T06:17:00Z</dcterms:modified>
</cp:coreProperties>
</file>