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7B" w:rsidRPr="00EA767B" w:rsidRDefault="00EA767B" w:rsidP="00EA767B">
      <w:pPr>
        <w:widowControl/>
        <w:wordWrap w:val="0"/>
        <w:spacing w:before="100" w:beforeAutospacing="1" w:after="100" w:afterAutospacing="1" w:line="326" w:lineRule="atLeast"/>
        <w:jc w:val="center"/>
        <w:outlineLvl w:val="0"/>
        <w:rPr>
          <w:rFonts w:ascii="宋体" w:eastAsia="宋体" w:hAnsi="宋体" w:cs="宋体"/>
          <w:b/>
          <w:bCs/>
          <w:kern w:val="36"/>
          <w:sz w:val="25"/>
          <w:szCs w:val="25"/>
        </w:rPr>
      </w:pPr>
      <w:r w:rsidRPr="00EA767B">
        <w:rPr>
          <w:rFonts w:ascii="宋体" w:eastAsia="宋体" w:hAnsi="宋体" w:cs="宋体"/>
          <w:b/>
          <w:bCs/>
          <w:kern w:val="36"/>
          <w:sz w:val="25"/>
          <w:szCs w:val="25"/>
        </w:rPr>
        <w:t>浙江大学关于印发《〈浙江大学科研项目经费管理办法〉的补充规定》的通知</w:t>
      </w:r>
    </w:p>
    <w:p w:rsidR="00EA767B" w:rsidRPr="00EA767B" w:rsidRDefault="00EA767B" w:rsidP="00EA767B">
      <w:pPr>
        <w:widowControl/>
        <w:wordWrap w:val="0"/>
        <w:snapToGrid w:val="0"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kern w:val="0"/>
          <w:sz w:val="30"/>
          <w:szCs w:val="20"/>
        </w:rPr>
        <w:t>浙大发计〔</w:t>
      </w:r>
      <w:r w:rsidRPr="00EA767B">
        <w:rPr>
          <w:rFonts w:ascii="Times New Roman" w:eastAsia="仿宋_GB2312" w:hAnsi="Times New Roman" w:cs="Times New Roman"/>
          <w:kern w:val="0"/>
          <w:sz w:val="30"/>
          <w:szCs w:val="20"/>
        </w:rPr>
        <w:t>2012</w:t>
      </w:r>
      <w:r w:rsidRPr="00EA767B">
        <w:rPr>
          <w:rFonts w:ascii="Times New Roman" w:eastAsia="仿宋_GB2312" w:hAnsi="宋体" w:cs="宋体" w:hint="eastAsia"/>
          <w:kern w:val="0"/>
          <w:sz w:val="30"/>
          <w:szCs w:val="20"/>
        </w:rPr>
        <w:t>〕</w:t>
      </w:r>
      <w:r w:rsidRPr="00EA767B">
        <w:rPr>
          <w:rFonts w:ascii="Times New Roman" w:eastAsia="仿宋_GB2312" w:hAnsi="Times New Roman" w:cs="Times New Roman"/>
          <w:kern w:val="0"/>
          <w:sz w:val="30"/>
          <w:szCs w:val="20"/>
        </w:rPr>
        <w:t>10</w:t>
      </w:r>
      <w:r w:rsidRPr="00EA767B">
        <w:rPr>
          <w:rFonts w:ascii="Times New Roman" w:eastAsia="仿宋_GB2312" w:hAnsi="宋体" w:cs="宋体" w:hint="eastAsia"/>
          <w:kern w:val="0"/>
          <w:sz w:val="30"/>
          <w:szCs w:val="20"/>
        </w:rPr>
        <w:t>号</w:t>
      </w:r>
    </w:p>
    <w:p w:rsidR="00EA767B" w:rsidRPr="00EA767B" w:rsidRDefault="00EA767B" w:rsidP="00EA767B">
      <w:pPr>
        <w:widowControl/>
        <w:wordWrap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kern w:val="0"/>
          <w:sz w:val="30"/>
          <w:szCs w:val="20"/>
        </w:rPr>
        <w:t> </w:t>
      </w:r>
    </w:p>
    <w:p w:rsidR="00EA767B" w:rsidRPr="00EA767B" w:rsidRDefault="00EA767B" w:rsidP="00EA767B">
      <w:pPr>
        <w:widowControl/>
        <w:wordWrap w:val="0"/>
        <w:snapToGrid w:val="0"/>
        <w:spacing w:line="4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kern w:val="0"/>
          <w:sz w:val="32"/>
          <w:szCs w:val="20"/>
        </w:rPr>
        <w:t> </w:t>
      </w:r>
      <w:r w:rsidRPr="00EA767B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EA767B" w:rsidRPr="00EA767B" w:rsidRDefault="00EA767B" w:rsidP="00EA767B">
      <w:pPr>
        <w:widowControl/>
        <w:wordWrap w:val="0"/>
        <w:spacing w:line="5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kern w:val="0"/>
          <w:sz w:val="30"/>
          <w:szCs w:val="20"/>
        </w:rPr>
        <w:t>各学部、学院（系），各部门，各校区管委会，直属各单位：</w:t>
      </w:r>
    </w:p>
    <w:p w:rsidR="00EA767B" w:rsidRPr="00EA767B" w:rsidRDefault="00EA767B" w:rsidP="00EA767B">
      <w:pPr>
        <w:widowControl/>
        <w:tabs>
          <w:tab w:val="left" w:pos="360"/>
          <w:tab w:val="left" w:pos="540"/>
        </w:tabs>
        <w:wordWrap w:val="0"/>
        <w:spacing w:line="56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经研究决定，现将《〈浙江大学科研项目经费管理办法〉的补充规定》印发给你们，请遵照执行。</w:t>
      </w:r>
    </w:p>
    <w:p w:rsidR="00EA767B" w:rsidRPr="00EA767B" w:rsidRDefault="00EA767B" w:rsidP="00EA767B">
      <w:pPr>
        <w:widowControl/>
        <w:wordWrap w:val="0"/>
        <w:spacing w:line="480" w:lineRule="auto"/>
        <w:ind w:firstLineChars="1650" w:firstLine="49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 </w:t>
      </w:r>
    </w:p>
    <w:p w:rsidR="00EA767B" w:rsidRPr="00EA767B" w:rsidRDefault="00EA767B" w:rsidP="00EA767B">
      <w:pPr>
        <w:widowControl/>
        <w:wordWrap w:val="0"/>
        <w:spacing w:line="480" w:lineRule="auto"/>
        <w:ind w:firstLineChars="1650" w:firstLine="495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 </w:t>
      </w:r>
    </w:p>
    <w:p w:rsidR="00EA767B" w:rsidRPr="00EA767B" w:rsidRDefault="00EA767B" w:rsidP="00EA767B">
      <w:pPr>
        <w:widowControl/>
        <w:wordWrap w:val="0"/>
        <w:snapToGrid w:val="0"/>
        <w:spacing w:line="500" w:lineRule="exact"/>
        <w:ind w:left="4250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kern w:val="0"/>
          <w:sz w:val="30"/>
          <w:szCs w:val="20"/>
        </w:rPr>
        <w:t> </w:t>
      </w:r>
    </w:p>
    <w:p w:rsidR="00EA767B" w:rsidRPr="00EA767B" w:rsidRDefault="00EA767B" w:rsidP="00EA767B">
      <w:pPr>
        <w:widowControl/>
        <w:wordWrap w:val="0"/>
        <w:snapToGrid w:val="0"/>
        <w:spacing w:line="500" w:lineRule="exact"/>
        <w:ind w:right="1284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宋体" w:cs="宋体" w:hint="eastAsia"/>
          <w:kern w:val="0"/>
          <w:sz w:val="30"/>
          <w:szCs w:val="20"/>
        </w:rPr>
        <w:t>二○一二年六月七日</w:t>
      </w:r>
    </w:p>
    <w:p w:rsidR="00EA767B" w:rsidRPr="00EA767B" w:rsidRDefault="00EA767B" w:rsidP="00EA767B">
      <w:pPr>
        <w:widowControl/>
        <w:wordWrap w:val="0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A767B">
        <w:rPr>
          <w:rFonts w:ascii="仿宋_GB2312" w:eastAsia="仿宋_GB2312" w:hAnsi="Times New Roman" w:cs="Times New Roman" w:hint="eastAsia"/>
          <w:sz w:val="30"/>
          <w:szCs w:val="20"/>
        </w:rPr>
        <w:br w:type="page"/>
      </w:r>
    </w:p>
    <w:p w:rsidR="00EA767B" w:rsidRPr="00EA767B" w:rsidRDefault="00EA767B" w:rsidP="00EA767B">
      <w:pPr>
        <w:widowControl/>
        <w:wordWrap w:val="0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文鼎大标宋简" w:eastAsia="文鼎大标宋简" w:hAnsi="华文中宋" w:cs="宋体" w:hint="eastAsia"/>
          <w:bCs/>
          <w:kern w:val="0"/>
          <w:sz w:val="36"/>
          <w:szCs w:val="36"/>
        </w:rPr>
        <w:lastRenderedPageBreak/>
        <w:t>《浙江大学科研项目经费管理办法》的补充规定</w:t>
      </w:r>
    </w:p>
    <w:p w:rsidR="00EA767B" w:rsidRPr="00EA767B" w:rsidRDefault="00EA767B" w:rsidP="00EA767B">
      <w:pPr>
        <w:widowControl/>
        <w:wordWrap w:val="0"/>
        <w:spacing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仿宋_GB2312" w:eastAsia="仿宋_GB2312" w:hAnsi="华文中宋" w:cs="宋体" w:hint="eastAsia"/>
          <w:bCs/>
          <w:kern w:val="0"/>
          <w:sz w:val="30"/>
          <w:szCs w:val="30"/>
        </w:rPr>
        <w:t> 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为深入贯彻落实《教育部关于进一步贯彻执行国家科研经费管理政策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 xml:space="preserve"> 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加强高校科研经费管理的通知》（</w:t>
      </w:r>
      <w:proofErr w:type="gramStart"/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教财〔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2011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〕</w:t>
      </w:r>
      <w:proofErr w:type="gramEnd"/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12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号）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,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进一步加强学校科研经费管理，提高资金使用效益，现对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《浙江大学科研项目经费管理办法》（浙大发计〔</w:t>
      </w:r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2010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〕</w:t>
      </w:r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15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号）</w:t>
      </w:r>
      <w:proofErr w:type="gramStart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作出</w:t>
      </w:r>
      <w:proofErr w:type="gramEnd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如下补充规定</w:t>
      </w:r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: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黑体" w:eastAsia="黑体" w:hAnsi="宋体" w:cs="宋体" w:hint="eastAsia"/>
          <w:bCs/>
          <w:kern w:val="0"/>
          <w:sz w:val="30"/>
          <w:szCs w:val="30"/>
        </w:rPr>
        <w:t>一、加强对外拨经费的监督管理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外拨经费</w:t>
      </w:r>
      <w:proofErr w:type="gramEnd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作为项目（课题）经费的组成部分，项目（课题）负责人负有监督管理的责任。合作单位对拨入经费应遵照国家相关专项经费管理办法，实行单独核算，专款专用，经费使用严格按约定的预算执行，不得违规转拨，有关政府采购、招投标、资产管理等事务应遵照国家相关规定。项目（课题）负责人应要求合作单位签署合理、合法、合</w:t>
      </w:r>
      <w:proofErr w:type="gramStart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规</w:t>
      </w:r>
      <w:proofErr w:type="gramEnd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使用合作经费的承诺书，对其经费使用情况进行有效监督。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黑体" w:eastAsia="黑体" w:hAnsi="宋体" w:cs="宋体" w:hint="eastAsia"/>
          <w:bCs/>
          <w:kern w:val="0"/>
          <w:sz w:val="30"/>
          <w:szCs w:val="30"/>
        </w:rPr>
        <w:t>二、加强对项目（课题）材料以及仪器设备的管理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项目（课题）负责人应加强对材料购买以及领用情况的管理，认真做好专人负责，材料购买入库和领用登记等相关手续，建立和完善项目（课题）材料出入库管理制度。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项目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(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课题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)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严格按照《浙江大学国有资产管理办法》（浙大发国资〔</w:t>
      </w:r>
      <w:r w:rsidRPr="00EA767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2010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〕</w:t>
      </w:r>
      <w:r w:rsidRPr="00EA767B">
        <w:rPr>
          <w:rFonts w:ascii="Times New Roman" w:eastAsia="仿宋_GB2312" w:hAnsi="Times New Roman" w:cs="Times New Roman" w:hint="eastAsia"/>
          <w:bCs/>
          <w:kern w:val="0"/>
          <w:sz w:val="30"/>
          <w:szCs w:val="30"/>
        </w:rPr>
        <w:t>1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号）和《浙江大学仪器设备管理办法》（</w:t>
      </w:r>
      <w:proofErr w:type="gramStart"/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浙大发设〔</w:t>
      </w:r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2007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〕</w:t>
      </w:r>
      <w:proofErr w:type="gramEnd"/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9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号）要求，进一步加强对仪器设备的管理。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黑体" w:eastAsia="黑体" w:hAnsi="宋体" w:cs="宋体" w:hint="eastAsia"/>
          <w:bCs/>
          <w:kern w:val="0"/>
          <w:sz w:val="30"/>
          <w:szCs w:val="30"/>
        </w:rPr>
        <w:t>三、加强对项目（课题）结余经费的管理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项目（课题）通过财务验收后，若有结余经费，有后续支出情况的，按照批准的后续支出说明使用；无后续支出情况的，结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lastRenderedPageBreak/>
        <w:t>余经费在认定不需原渠道收回的前提下，应及时结题结账，转为科研预研基金。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193" w:firstLine="5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黑体" w:eastAsia="黑体" w:hAnsi="宋体" w:cs="宋体" w:hint="eastAsia"/>
          <w:bCs/>
          <w:kern w:val="0"/>
          <w:sz w:val="30"/>
          <w:szCs w:val="30"/>
        </w:rPr>
        <w:t>四、加强对横向科研项目经费的管理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193" w:firstLine="579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横向科技项目经费试行预算制管理。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对科研业务费、设备费、外协费、劳务费、管理费、科研水电费等进行分科目预算管理。科研业务费预算包括材料费、差旅费、测试化验加工费、会议费、国际合作与交流费、出版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/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文献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/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信息传播</w:t>
      </w:r>
      <w:r w:rsidRPr="00EA767B">
        <w:rPr>
          <w:rFonts w:ascii="Times New Roman" w:eastAsia="仿宋_GB2312" w:hAnsi="Times New Roman" w:cs="Times New Roman"/>
          <w:kern w:val="0"/>
          <w:sz w:val="30"/>
          <w:szCs w:val="30"/>
        </w:rPr>
        <w:t>/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知识产权事务费与维持费、专家咨询费、业务招待费等。</w:t>
      </w:r>
    </w:p>
    <w:p w:rsidR="00EA767B" w:rsidRPr="00EA767B" w:rsidRDefault="00EA767B" w:rsidP="00EA767B">
      <w:pPr>
        <w:widowControl/>
        <w:wordWrap w:val="0"/>
        <w:spacing w:line="540" w:lineRule="exact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有关预算制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办法详见《浙江大学横向科技项目经费预算制试行办法》（</w:t>
      </w:r>
      <w:proofErr w:type="gramStart"/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浙大发科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〔</w:t>
      </w:r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2012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〕</w:t>
      </w:r>
      <w:proofErr w:type="gramEnd"/>
      <w:r w:rsidRPr="00EA767B">
        <w:rPr>
          <w:rFonts w:ascii="Times New Roman" w:eastAsia="仿宋_GB2312" w:hAnsi="Times New Roman" w:cs="Times New Roman"/>
          <w:bCs/>
          <w:kern w:val="0"/>
          <w:sz w:val="30"/>
          <w:szCs w:val="30"/>
        </w:rPr>
        <w:t>5</w:t>
      </w:r>
      <w:r w:rsidRPr="00EA767B">
        <w:rPr>
          <w:rFonts w:ascii="Times New Roman" w:eastAsia="仿宋_GB2312" w:hAnsi="宋体" w:cs="宋体" w:hint="eastAsia"/>
          <w:bCs/>
          <w:kern w:val="0"/>
          <w:sz w:val="30"/>
          <w:szCs w:val="30"/>
        </w:rPr>
        <w:t>号）</w:t>
      </w:r>
      <w:r w:rsidRPr="00EA767B">
        <w:rPr>
          <w:rFonts w:ascii="Times New Roman" w:eastAsia="仿宋_GB2312" w:hAnsi="宋体" w:cs="宋体" w:hint="eastAsia"/>
          <w:kern w:val="0"/>
          <w:sz w:val="30"/>
          <w:szCs w:val="30"/>
        </w:rPr>
        <w:t>。</w:t>
      </w:r>
    </w:p>
    <w:p w:rsidR="00CC42E0" w:rsidRPr="00EA767B" w:rsidRDefault="00CC42E0">
      <w:pPr>
        <w:rPr>
          <w:rFonts w:hint="eastAsia"/>
        </w:rPr>
      </w:pPr>
    </w:p>
    <w:sectPr w:rsidR="00CC42E0" w:rsidRPr="00EA767B" w:rsidSect="00CC4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67B"/>
    <w:rsid w:val="00CC42E0"/>
    <w:rsid w:val="00EA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E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A76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767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7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156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>zju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D790</dc:creator>
  <cp:keywords/>
  <dc:description/>
  <cp:lastModifiedBy>D790</cp:lastModifiedBy>
  <cp:revision>2</cp:revision>
  <dcterms:created xsi:type="dcterms:W3CDTF">2013-05-16T03:53:00Z</dcterms:created>
  <dcterms:modified xsi:type="dcterms:W3CDTF">2013-05-16T03:53:00Z</dcterms:modified>
</cp:coreProperties>
</file>