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64EE" w14:textId="2E8226A3" w:rsidR="00FA3ECD" w:rsidRPr="00687781" w:rsidRDefault="00000000" w:rsidP="00687781">
      <w:pPr>
        <w:spacing w:before="98" w:line="224" w:lineRule="auto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33"/>
          <w:sz w:val="30"/>
          <w:szCs w:val="30"/>
          <w:lang w:eastAsia="zh-CN"/>
        </w:rPr>
        <w:t>附件1</w:t>
      </w:r>
    </w:p>
    <w:p w14:paraId="1188EFFB" w14:textId="77777777" w:rsidR="00FA3ECD" w:rsidRDefault="00FA3ECD">
      <w:pPr>
        <w:spacing w:line="268" w:lineRule="auto"/>
        <w:rPr>
          <w:lang w:eastAsia="zh-CN"/>
        </w:rPr>
      </w:pPr>
    </w:p>
    <w:p w14:paraId="4D6B2AC7" w14:textId="77777777" w:rsidR="00FA3ECD" w:rsidRDefault="00000000">
      <w:pPr>
        <w:spacing w:before="140" w:line="219" w:lineRule="auto"/>
        <w:ind w:left="499"/>
        <w:rPr>
          <w:rFonts w:ascii="宋体" w:eastAsia="宋体" w:hAnsi="宋体" w:cs="宋体" w:hint="eastAsia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43"/>
          <w:szCs w:val="43"/>
          <w:lang w:eastAsia="zh-CN"/>
        </w:rPr>
        <w:t>2025年度浙江省开放研究课题选题方向</w:t>
      </w:r>
    </w:p>
    <w:p w14:paraId="0C7F9D2F" w14:textId="77777777" w:rsidR="00FA3ECD" w:rsidRDefault="00FA3ECD">
      <w:pPr>
        <w:spacing w:line="327" w:lineRule="auto"/>
        <w:rPr>
          <w:rFonts w:hint="eastAsia"/>
          <w:lang w:eastAsia="zh-CN"/>
        </w:rPr>
      </w:pPr>
    </w:p>
    <w:p w14:paraId="16BDB92B" w14:textId="77777777" w:rsidR="00FA3ECD" w:rsidRDefault="00000000">
      <w:pPr>
        <w:spacing w:before="98" w:line="221" w:lineRule="auto"/>
        <w:ind w:left="767"/>
        <w:outlineLvl w:val="2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5"/>
          <w:sz w:val="30"/>
          <w:szCs w:val="30"/>
          <w:lang w:eastAsia="zh-CN"/>
        </w:rPr>
        <w:t>一、开放发展热点及国际形势研究</w:t>
      </w:r>
    </w:p>
    <w:p w14:paraId="077556BB" w14:textId="77777777" w:rsidR="00FA3ECD" w:rsidRDefault="00000000">
      <w:pPr>
        <w:pStyle w:val="a3"/>
        <w:spacing w:before="259" w:line="348" w:lineRule="auto"/>
        <w:ind w:left="153" w:right="202" w:firstLine="610"/>
        <w:rPr>
          <w:rFonts w:hint="eastAsia"/>
          <w:lang w:eastAsia="zh-CN"/>
        </w:rPr>
      </w:pPr>
      <w:r>
        <w:rPr>
          <w:spacing w:val="7"/>
          <w:lang w:eastAsia="zh-CN"/>
        </w:rPr>
        <w:t>围绕应对外部环境变化，更好稳外贸、稳产业链稳供应</w:t>
      </w:r>
      <w:r>
        <w:rPr>
          <w:spacing w:val="2"/>
          <w:lang w:eastAsia="zh-CN"/>
        </w:rPr>
        <w:t xml:space="preserve"> </w:t>
      </w:r>
      <w:r>
        <w:rPr>
          <w:spacing w:val="6"/>
          <w:lang w:eastAsia="zh-CN"/>
        </w:rPr>
        <w:t>链、稳企业稳就业，深化重点国别经贸合作等开展研究。</w:t>
      </w:r>
    </w:p>
    <w:p w14:paraId="3B8CE893" w14:textId="77777777" w:rsidR="00FA3ECD" w:rsidRDefault="00000000">
      <w:pPr>
        <w:spacing w:before="1" w:line="220" w:lineRule="auto"/>
        <w:ind w:left="767"/>
        <w:outlineLvl w:val="2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4"/>
          <w:sz w:val="30"/>
          <w:szCs w:val="30"/>
          <w:lang w:eastAsia="zh-CN"/>
        </w:rPr>
        <w:t>二、对外贸易高质量发展研究</w:t>
      </w:r>
    </w:p>
    <w:p w14:paraId="27C3226D" w14:textId="77777777" w:rsidR="00FA3ECD" w:rsidRDefault="00000000">
      <w:pPr>
        <w:pStyle w:val="a3"/>
        <w:spacing w:before="252" w:line="357" w:lineRule="auto"/>
        <w:ind w:left="153" w:right="103" w:firstLine="610"/>
        <w:rPr>
          <w:rFonts w:hint="eastAsia"/>
          <w:lang w:eastAsia="zh-CN"/>
        </w:rPr>
      </w:pPr>
      <w:r>
        <w:rPr>
          <w:spacing w:val="5"/>
          <w:lang w:eastAsia="zh-CN"/>
        </w:rPr>
        <w:t>聚焦产业结构升级和贸易方式转型，围绕中间品贸易、</w:t>
      </w:r>
      <w:r>
        <w:rPr>
          <w:spacing w:val="4"/>
          <w:lang w:eastAsia="zh-CN"/>
        </w:rPr>
        <w:t xml:space="preserve">  </w:t>
      </w:r>
      <w:r>
        <w:rPr>
          <w:spacing w:val="6"/>
          <w:lang w:eastAsia="zh-CN"/>
        </w:rPr>
        <w:t>跨境电商、绿色贸易等新业态新模式发展，发展服务贸易、</w:t>
      </w:r>
      <w:r>
        <w:rPr>
          <w:spacing w:val="13"/>
          <w:lang w:eastAsia="zh-CN"/>
        </w:rPr>
        <w:t xml:space="preserve"> </w:t>
      </w:r>
      <w:r>
        <w:rPr>
          <w:spacing w:val="7"/>
          <w:lang w:eastAsia="zh-CN"/>
        </w:rPr>
        <w:t>数字贸易，积极扩大进口、促进高新技术产品出口、提</w:t>
      </w:r>
      <w:r>
        <w:rPr>
          <w:spacing w:val="6"/>
          <w:lang w:eastAsia="zh-CN"/>
        </w:rPr>
        <w:t>升产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品质量品牌竞争力、开拓“一带一路”新兴市场等开展研究。</w:t>
      </w:r>
    </w:p>
    <w:p w14:paraId="040C6CF8" w14:textId="77777777" w:rsidR="00FA3ECD" w:rsidRDefault="00000000">
      <w:pPr>
        <w:spacing w:before="19" w:line="222" w:lineRule="auto"/>
        <w:ind w:left="767"/>
        <w:outlineLvl w:val="2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30"/>
          <w:szCs w:val="30"/>
          <w:lang w:eastAsia="zh-CN"/>
        </w:rPr>
        <w:t>三、更高水平国际投资研究</w:t>
      </w:r>
    </w:p>
    <w:p w14:paraId="6BBD1080" w14:textId="77777777" w:rsidR="00FA3ECD" w:rsidRDefault="00000000">
      <w:pPr>
        <w:pStyle w:val="a3"/>
        <w:spacing w:before="206" w:line="361" w:lineRule="auto"/>
        <w:ind w:left="153" w:right="176" w:firstLine="610"/>
        <w:rPr>
          <w:rFonts w:hint="eastAsia"/>
          <w:lang w:eastAsia="zh-CN"/>
        </w:rPr>
      </w:pPr>
      <w:r>
        <w:rPr>
          <w:spacing w:val="5"/>
          <w:lang w:eastAsia="zh-CN"/>
        </w:rPr>
        <w:t>围绕招大引强和扩大有效投资、利用外资新渠道拓展、</w:t>
      </w:r>
      <w:r>
        <w:rPr>
          <w:spacing w:val="8"/>
          <w:lang w:eastAsia="zh-CN"/>
        </w:rPr>
        <w:t xml:space="preserve"> 外资企业境内再投资促进、外商投资服务体系、开放平</w:t>
      </w:r>
      <w:r>
        <w:rPr>
          <w:spacing w:val="7"/>
          <w:lang w:eastAsia="zh-CN"/>
        </w:rPr>
        <w:t>台引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资支撑，以及本土跨国公司培育、国际产能合作、海外经贸</w:t>
      </w:r>
      <w:r>
        <w:rPr>
          <w:spacing w:val="6"/>
          <w:lang w:eastAsia="zh-CN"/>
        </w:rPr>
        <w:t xml:space="preserve"> </w:t>
      </w:r>
      <w:r>
        <w:rPr>
          <w:spacing w:val="7"/>
          <w:lang w:eastAsia="zh-CN"/>
        </w:rPr>
        <w:t>网络布局、海外综合服务体系建设、鼓励企业境外利润汇回</w:t>
      </w:r>
      <w:r>
        <w:rPr>
          <w:spacing w:val="9"/>
          <w:lang w:eastAsia="zh-CN"/>
        </w:rPr>
        <w:t xml:space="preserve"> </w:t>
      </w:r>
      <w:r>
        <w:rPr>
          <w:spacing w:val="2"/>
          <w:lang w:eastAsia="zh-CN"/>
        </w:rPr>
        <w:t>的国际经验借鉴等开展研究。</w:t>
      </w:r>
    </w:p>
    <w:p w14:paraId="4F2EF75C" w14:textId="77777777" w:rsidR="00FA3ECD" w:rsidRDefault="00000000">
      <w:pPr>
        <w:spacing w:before="1" w:line="220" w:lineRule="auto"/>
        <w:ind w:left="767"/>
        <w:outlineLvl w:val="2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30"/>
          <w:szCs w:val="30"/>
          <w:lang w:eastAsia="zh-CN"/>
        </w:rPr>
        <w:t>四、提升开放平台能级研究</w:t>
      </w:r>
    </w:p>
    <w:p w14:paraId="57D45DCF" w14:textId="77777777" w:rsidR="00FA3ECD" w:rsidRDefault="00000000">
      <w:pPr>
        <w:pStyle w:val="a3"/>
        <w:spacing w:before="203" w:line="361" w:lineRule="auto"/>
        <w:ind w:left="153" w:right="83" w:firstLine="610"/>
        <w:rPr>
          <w:rFonts w:hint="eastAsia"/>
          <w:lang w:eastAsia="zh-CN"/>
        </w:rPr>
      </w:pPr>
      <w:r>
        <w:rPr>
          <w:spacing w:val="-1"/>
          <w:lang w:eastAsia="zh-CN"/>
        </w:rPr>
        <w:t>围绕提升自贸试验区、开发区、综保区等开放平台能级，</w:t>
      </w:r>
      <w:r>
        <w:rPr>
          <w:spacing w:val="13"/>
          <w:lang w:eastAsia="zh-CN"/>
        </w:rPr>
        <w:t xml:space="preserve"> </w:t>
      </w:r>
      <w:r>
        <w:rPr>
          <w:spacing w:val="7"/>
          <w:lang w:eastAsia="zh-CN"/>
        </w:rPr>
        <w:t xml:space="preserve">促进产业集聚创新发展，以及大宗商品资源配置枢纽建设、 </w:t>
      </w:r>
      <w:r>
        <w:rPr>
          <w:spacing w:val="3"/>
          <w:lang w:eastAsia="zh-CN"/>
        </w:rPr>
        <w:t>开发区体制机制改革等开展研究。</w:t>
      </w:r>
    </w:p>
    <w:p w14:paraId="22808B23" w14:textId="0D1DC643" w:rsidR="00FA3ECD" w:rsidRDefault="00000000" w:rsidP="00687781">
      <w:pPr>
        <w:spacing w:before="1" w:line="221" w:lineRule="auto"/>
        <w:ind w:left="767"/>
        <w:outlineLvl w:val="2"/>
        <w:rPr>
          <w:rFonts w:ascii="黑体" w:eastAsia="黑体" w:hAnsi="黑体" w:cs="黑体" w:hint="eastAsia"/>
          <w:sz w:val="30"/>
          <w:szCs w:val="30"/>
          <w:lang w:eastAsia="zh-CN"/>
        </w:rPr>
        <w:sectPr w:rsidR="00FA3ECD">
          <w:footerReference w:type="default" r:id="rId6"/>
          <w:pgSz w:w="11910" w:h="16850"/>
          <w:pgMar w:top="1432" w:right="1786" w:bottom="1267" w:left="1786" w:header="0" w:footer="876" w:gutter="0"/>
          <w:cols w:space="720"/>
        </w:sectPr>
      </w:pPr>
      <w:r>
        <w:rPr>
          <w:rFonts w:ascii="黑体" w:eastAsia="黑体" w:hAnsi="黑体" w:cs="黑体"/>
          <w:b/>
          <w:bCs/>
          <w:spacing w:val="3"/>
          <w:sz w:val="30"/>
          <w:szCs w:val="30"/>
          <w:lang w:eastAsia="zh-CN"/>
        </w:rPr>
        <w:t>五、优化区域开放布局研究</w:t>
      </w:r>
    </w:p>
    <w:p w14:paraId="386689B1" w14:textId="77777777" w:rsidR="00FA3ECD" w:rsidRDefault="00FA3ECD">
      <w:pPr>
        <w:spacing w:line="375" w:lineRule="auto"/>
        <w:rPr>
          <w:rFonts w:hint="eastAsia"/>
          <w:lang w:eastAsia="zh-CN"/>
        </w:rPr>
      </w:pPr>
    </w:p>
    <w:p w14:paraId="50BD2C2F" w14:textId="77777777" w:rsidR="00FA3ECD" w:rsidRDefault="00000000">
      <w:pPr>
        <w:pStyle w:val="a3"/>
        <w:spacing w:before="97" w:line="363" w:lineRule="auto"/>
        <w:ind w:left="163" w:right="223" w:firstLine="600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围绕更好发挥海港、陆港、空港和数贸港作用，发展国</w:t>
      </w:r>
      <w:r>
        <w:rPr>
          <w:spacing w:val="16"/>
          <w:lang w:eastAsia="zh-CN"/>
        </w:rPr>
        <w:t xml:space="preserve"> </w:t>
      </w:r>
      <w:r>
        <w:rPr>
          <w:spacing w:val="5"/>
          <w:lang w:eastAsia="zh-CN"/>
        </w:rPr>
        <w:t>际多式联运，提升全球辐射力，以及各地建设差异化、特色</w:t>
      </w:r>
      <w:r>
        <w:rPr>
          <w:spacing w:val="18"/>
          <w:lang w:eastAsia="zh-CN"/>
        </w:rPr>
        <w:t xml:space="preserve"> </w:t>
      </w:r>
      <w:r>
        <w:rPr>
          <w:spacing w:val="5"/>
          <w:lang w:eastAsia="zh-CN"/>
        </w:rPr>
        <w:t>化开放平台，推动山海协同开放，打造形态多样的开放高地</w:t>
      </w:r>
      <w:r>
        <w:rPr>
          <w:spacing w:val="12"/>
          <w:lang w:eastAsia="zh-CN"/>
        </w:rPr>
        <w:t xml:space="preserve"> </w:t>
      </w:r>
      <w:r>
        <w:rPr>
          <w:spacing w:val="-5"/>
          <w:lang w:eastAsia="zh-CN"/>
        </w:rPr>
        <w:t>等开展研究。</w:t>
      </w:r>
    </w:p>
    <w:p w14:paraId="0454DB99" w14:textId="77777777" w:rsidR="00FA3ECD" w:rsidRDefault="00000000">
      <w:pPr>
        <w:spacing w:line="221" w:lineRule="auto"/>
        <w:ind w:left="767"/>
        <w:outlineLvl w:val="2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1"/>
          <w:sz w:val="30"/>
          <w:szCs w:val="30"/>
          <w:lang w:eastAsia="zh-CN"/>
        </w:rPr>
        <w:t>六、深化多领域协同开放研究</w:t>
      </w:r>
    </w:p>
    <w:p w14:paraId="46792BDD" w14:textId="77777777" w:rsidR="00FA3ECD" w:rsidRDefault="00000000">
      <w:pPr>
        <w:pStyle w:val="a3"/>
        <w:spacing w:before="204" w:line="362" w:lineRule="auto"/>
        <w:ind w:left="163" w:right="213" w:firstLine="600"/>
        <w:jc w:val="both"/>
        <w:rPr>
          <w:rFonts w:hint="eastAsia"/>
          <w:lang w:eastAsia="zh-CN"/>
        </w:rPr>
      </w:pPr>
      <w:r>
        <w:rPr>
          <w:spacing w:val="6"/>
          <w:lang w:eastAsia="zh-CN"/>
        </w:rPr>
        <w:t>围绕教育、科技、健康、文化、体育、旅游等多</w:t>
      </w:r>
      <w:r>
        <w:rPr>
          <w:spacing w:val="5"/>
          <w:lang w:eastAsia="zh-CN"/>
        </w:rPr>
        <w:t>领域开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放及国际合作，发挥华侨优势、涉外人才培养、涉外法治服</w:t>
      </w:r>
      <w:r>
        <w:rPr>
          <w:spacing w:val="2"/>
          <w:lang w:eastAsia="zh-CN"/>
        </w:rPr>
        <w:t xml:space="preserve"> </w:t>
      </w:r>
      <w:r>
        <w:rPr>
          <w:spacing w:val="24"/>
          <w:lang w:eastAsia="zh-CN"/>
        </w:rPr>
        <w:t>务(如仲裁)等开展研究。</w:t>
      </w:r>
    </w:p>
    <w:p w14:paraId="3194885D" w14:textId="77777777" w:rsidR="00FA3ECD" w:rsidRDefault="00000000">
      <w:pPr>
        <w:spacing w:before="1" w:line="220" w:lineRule="auto"/>
        <w:ind w:left="767"/>
        <w:outlineLvl w:val="2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30"/>
          <w:szCs w:val="30"/>
          <w:lang w:eastAsia="zh-CN"/>
        </w:rPr>
        <w:t>七、主动参与服务国内大循环研究</w:t>
      </w:r>
    </w:p>
    <w:p w14:paraId="2A4031C7" w14:textId="77777777" w:rsidR="00FA3ECD" w:rsidRDefault="00000000">
      <w:pPr>
        <w:pStyle w:val="a3"/>
        <w:spacing w:before="206" w:line="360" w:lineRule="auto"/>
        <w:ind w:left="163" w:right="216" w:firstLine="600"/>
        <w:jc w:val="both"/>
        <w:rPr>
          <w:rFonts w:hint="eastAsia"/>
          <w:lang w:eastAsia="zh-CN"/>
        </w:rPr>
      </w:pPr>
      <w:r>
        <w:rPr>
          <w:spacing w:val="6"/>
          <w:lang w:eastAsia="zh-CN"/>
        </w:rPr>
        <w:t>围绕浙江企业和产品进一步开拓国内市场，</w:t>
      </w:r>
      <w:r>
        <w:rPr>
          <w:spacing w:val="5"/>
          <w:lang w:eastAsia="zh-CN"/>
        </w:rPr>
        <w:t>推动内外贸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一体化，完善现代流通体系建设，推动消费转型，加快消费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业态模式创新，加快打造引领消费转型升级高地开展研究。</w:t>
      </w:r>
    </w:p>
    <w:p w14:paraId="7BC25889" w14:textId="77777777" w:rsidR="00FA3ECD" w:rsidRDefault="00000000">
      <w:pPr>
        <w:spacing w:before="2" w:line="295" w:lineRule="auto"/>
        <w:ind w:left="167" w:right="226" w:firstLine="600"/>
        <w:outlineLvl w:val="0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30"/>
          <w:szCs w:val="30"/>
          <w:lang w:eastAsia="zh-CN"/>
        </w:rPr>
        <w:t>八、打造“服务最优、成本最低、效率最高”开放环境</w:t>
      </w:r>
      <w:r>
        <w:rPr>
          <w:rFonts w:ascii="黑体" w:eastAsia="黑体" w:hAnsi="黑体" w:cs="黑体"/>
          <w:spacing w:val="18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2"/>
          <w:sz w:val="30"/>
          <w:szCs w:val="30"/>
          <w:lang w:eastAsia="zh-CN"/>
        </w:rPr>
        <w:t>研究</w:t>
      </w:r>
    </w:p>
    <w:p w14:paraId="69CB7747" w14:textId="77777777" w:rsidR="00FA3ECD" w:rsidRDefault="00000000">
      <w:pPr>
        <w:pStyle w:val="a3"/>
        <w:spacing w:before="198" w:line="358" w:lineRule="auto"/>
        <w:ind w:left="163" w:right="191" w:firstLine="600"/>
        <w:jc w:val="both"/>
        <w:rPr>
          <w:rFonts w:hint="eastAsia"/>
          <w:lang w:eastAsia="zh-CN"/>
        </w:rPr>
      </w:pPr>
      <w:r>
        <w:rPr>
          <w:spacing w:val="6"/>
          <w:lang w:eastAsia="zh-CN"/>
        </w:rPr>
        <w:t>围绕对标高标准国际经贸规则，推进制度型</w:t>
      </w:r>
      <w:r>
        <w:rPr>
          <w:spacing w:val="5"/>
          <w:lang w:eastAsia="zh-CN"/>
        </w:rPr>
        <w:t>开放，包括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数字贸易、人工智能、新质生产力等领域规则开展研究；聚</w:t>
      </w:r>
      <w:r>
        <w:rPr>
          <w:spacing w:val="4"/>
          <w:lang w:eastAsia="zh-CN"/>
        </w:rPr>
        <w:t xml:space="preserve"> </w:t>
      </w:r>
      <w:r>
        <w:rPr>
          <w:spacing w:val="7"/>
          <w:lang w:eastAsia="zh-CN"/>
        </w:rPr>
        <w:t>焦货物进出、资金进出、人员进出、数据跨境流动、风险防</w:t>
      </w:r>
      <w:r>
        <w:rPr>
          <w:lang w:eastAsia="zh-CN"/>
        </w:rPr>
        <w:t xml:space="preserve"> </w:t>
      </w:r>
      <w:r>
        <w:rPr>
          <w:spacing w:val="11"/>
          <w:lang w:eastAsia="zh-CN"/>
        </w:rPr>
        <w:t>范(包括企业出海风险防范、知识产权保护、技术性贸易壁</w:t>
      </w:r>
      <w:r>
        <w:rPr>
          <w:spacing w:val="8"/>
          <w:lang w:eastAsia="zh-CN"/>
        </w:rPr>
        <w:t xml:space="preserve"> </w:t>
      </w:r>
      <w:r>
        <w:rPr>
          <w:spacing w:val="13"/>
          <w:lang w:eastAsia="zh-CN"/>
        </w:rPr>
        <w:t>垒应对)等开展研究。</w:t>
      </w:r>
    </w:p>
    <w:p w14:paraId="3DABD435" w14:textId="77777777" w:rsidR="00FA3ECD" w:rsidRDefault="00000000">
      <w:pPr>
        <w:pStyle w:val="a3"/>
        <w:spacing w:before="23" w:line="358" w:lineRule="auto"/>
        <w:ind w:left="163" w:right="216" w:firstLine="600"/>
        <w:rPr>
          <w:rFonts w:hint="eastAsia"/>
          <w:lang w:eastAsia="zh-CN"/>
        </w:rPr>
      </w:pPr>
      <w:r>
        <w:rPr>
          <w:spacing w:val="6"/>
          <w:lang w:eastAsia="zh-CN"/>
        </w:rPr>
        <w:t>选题方向不是具体的研究题目，课题组可择一选题，自</w:t>
      </w:r>
      <w:r>
        <w:rPr>
          <w:spacing w:val="12"/>
          <w:lang w:eastAsia="zh-CN"/>
        </w:rPr>
        <w:t xml:space="preserve"> </w:t>
      </w:r>
      <w:r>
        <w:rPr>
          <w:spacing w:val="3"/>
          <w:lang w:eastAsia="zh-CN"/>
        </w:rPr>
        <w:t>行设计研究题目及课题内容。</w:t>
      </w:r>
    </w:p>
    <w:sectPr w:rsidR="00FA3ECD">
      <w:footerReference w:type="default" r:id="rId7"/>
      <w:pgSz w:w="11910" w:h="16850"/>
      <w:pgMar w:top="1432" w:right="1786" w:bottom="1377" w:left="1786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8D47" w14:textId="77777777" w:rsidR="00073A00" w:rsidRDefault="00073A00">
      <w:pPr>
        <w:spacing w:after="0"/>
      </w:pPr>
      <w:r>
        <w:separator/>
      </w:r>
    </w:p>
  </w:endnote>
  <w:endnote w:type="continuationSeparator" w:id="0">
    <w:p w14:paraId="10E8460C" w14:textId="77777777" w:rsidR="00073A00" w:rsidRDefault="00073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BDB0" w14:textId="77777777" w:rsidR="00FA3ECD" w:rsidRDefault="00000000">
    <w:pPr>
      <w:spacing w:before="1" w:line="234" w:lineRule="auto"/>
      <w:ind w:left="153"/>
      <w:rPr>
        <w:rFonts w:ascii="宋体" w:eastAsia="宋体" w:hAnsi="宋体" w:cs="宋体" w:hint="eastAsia"/>
        <w:sz w:val="30"/>
        <w:szCs w:val="30"/>
      </w:rPr>
    </w:pPr>
    <w:r>
      <w:rPr>
        <w:rFonts w:ascii="宋体" w:eastAsia="宋体" w:hAnsi="宋体" w:cs="宋体"/>
        <w:spacing w:val="-18"/>
        <w:sz w:val="30"/>
        <w:szCs w:val="30"/>
      </w:rPr>
      <w:t>—4—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94C9" w14:textId="77777777" w:rsidR="00FA3ECD" w:rsidRDefault="00000000">
    <w:pPr>
      <w:spacing w:line="233" w:lineRule="auto"/>
      <w:ind w:left="7493"/>
      <w:rPr>
        <w:rFonts w:ascii="宋体" w:eastAsia="宋体" w:hAnsi="宋体" w:cs="宋体" w:hint="eastAsia"/>
        <w:sz w:val="30"/>
        <w:szCs w:val="30"/>
      </w:rPr>
    </w:pPr>
    <w:r>
      <w:rPr>
        <w:rFonts w:ascii="宋体" w:eastAsia="宋体" w:hAnsi="宋体" w:cs="宋体"/>
        <w:spacing w:val="-18"/>
        <w:sz w:val="30"/>
        <w:szCs w:val="30"/>
      </w:rPr>
      <w:t>—5—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BA22" w14:textId="77777777" w:rsidR="00073A00" w:rsidRDefault="00073A00">
      <w:pPr>
        <w:spacing w:after="0"/>
      </w:pPr>
      <w:r>
        <w:separator/>
      </w:r>
    </w:p>
  </w:footnote>
  <w:footnote w:type="continuationSeparator" w:id="0">
    <w:p w14:paraId="3D5B7BD9" w14:textId="77777777" w:rsidR="00073A00" w:rsidRDefault="00073A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ECD"/>
    <w:rsid w:val="00073A00"/>
    <w:rsid w:val="00641997"/>
    <w:rsid w:val="00687781"/>
    <w:rsid w:val="00FA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9E9ED"/>
  <w15:docId w15:val="{652BF862-4E31-49B1-BD52-5DC0B58A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 z</cp:lastModifiedBy>
  <cp:revision>2</cp:revision>
  <dcterms:created xsi:type="dcterms:W3CDTF">2025-08-02T10:45:00Z</dcterms:created>
  <dcterms:modified xsi:type="dcterms:W3CDTF">2025-08-04T06:31:00Z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2025-08-02T10:45:15Z</vt:filetime>
  </property>
  <property fmtid="{D5CDD505-2E9C-101B-9397-08002B2CF9AE}" pid="4" name="UsrData">
    <vt:lpwstr>688d7bb91e9aa6001fdd377bwl</vt:lpwstr>
  </property>
</Properties>
</file>