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F997">
      <w:pPr>
        <w:overflowPunct w:val="0"/>
        <w:snapToGrid w:val="0"/>
        <w:spacing w:line="300" w:lineRule="auto"/>
        <w:jc w:val="center"/>
        <w:rPr>
          <w:rFonts w:ascii="方正小标宋简体" w:hAnsi="黑体" w:eastAsia="方正小标宋简体"/>
          <w:bCs/>
          <w:sz w:val="40"/>
          <w:szCs w:val="40"/>
        </w:rPr>
      </w:pPr>
      <w:bookmarkStart w:id="0" w:name="OLE_LINK8"/>
      <w:r>
        <w:rPr>
          <w:rFonts w:hint="eastAsia" w:ascii="方正小标宋简体" w:hAnsi="黑体" w:eastAsia="方正小标宋简体"/>
          <w:bCs/>
          <w:sz w:val="40"/>
          <w:szCs w:val="40"/>
        </w:rPr>
        <w:t>202</w:t>
      </w:r>
      <w:bookmarkEnd w:id="0"/>
      <w:r>
        <w:rPr>
          <w:rFonts w:hint="eastAsia" w:ascii="方正小标宋简体" w:hAnsi="黑体" w:eastAsia="方正小标宋简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黑体" w:eastAsia="方正小标宋简体"/>
          <w:bCs/>
          <w:sz w:val="40"/>
          <w:szCs w:val="40"/>
        </w:rPr>
        <w:t>年度浙江省哲学社会科学规划领军人才</w:t>
      </w:r>
    </w:p>
    <w:p w14:paraId="65384E4E">
      <w:pPr>
        <w:overflowPunct w:val="0"/>
        <w:snapToGrid w:val="0"/>
        <w:spacing w:line="300" w:lineRule="auto"/>
        <w:jc w:val="center"/>
        <w:rPr>
          <w:rFonts w:ascii="方正小标宋简体" w:hAnsi="黑体" w:eastAsia="方正小标宋简体"/>
          <w:bCs/>
          <w:sz w:val="40"/>
          <w:szCs w:val="40"/>
        </w:rPr>
      </w:pPr>
      <w:r>
        <w:rPr>
          <w:rFonts w:hint="eastAsia" w:ascii="方正小标宋简体" w:hAnsi="黑体" w:eastAsia="方正小标宋简体"/>
          <w:bCs/>
          <w:sz w:val="40"/>
          <w:szCs w:val="40"/>
        </w:rPr>
        <w:t>培育课题（引进人才团队支持）立项名单</w:t>
      </w:r>
    </w:p>
    <w:tbl>
      <w:tblPr>
        <w:tblStyle w:val="4"/>
        <w:tblW w:w="486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256"/>
        <w:gridCol w:w="2894"/>
        <w:gridCol w:w="1213"/>
        <w:gridCol w:w="534"/>
        <w:gridCol w:w="901"/>
      </w:tblGrid>
      <w:tr w14:paraId="496F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41CC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624F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课题编号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478A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课题名称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B1AE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负责人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4283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等级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F6EB4"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所在单位</w:t>
            </w:r>
          </w:p>
        </w:tc>
      </w:tr>
      <w:tr w14:paraId="3418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B1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_Hlk177979234"/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3BAF38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26YJRC001ZD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46F9C0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当代中国哲学自主话语体系建构研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FF781E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吴根友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C38F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重大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A6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哲学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学院</w:t>
            </w:r>
          </w:p>
        </w:tc>
      </w:tr>
      <w:tr w14:paraId="4E6C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04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96EED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26YJRC001ZD-1YB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FD1170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当代中国形上学自主话语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体系建构研究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278D11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韩书安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306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E8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哲学学院</w:t>
            </w:r>
          </w:p>
        </w:tc>
      </w:tr>
      <w:tr w14:paraId="7B06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C5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F3128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26YJRC001ZD-2YB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23B618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当代中国道德哲学自主话语体系建构研究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AB3BA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李明书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B536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45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哲学学院</w:t>
            </w:r>
          </w:p>
        </w:tc>
      </w:tr>
      <w:tr w14:paraId="48A3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0F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96139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26YJRC001ZD-3YB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2BEC9A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当代中国政治哲学自主话语体系建构研究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A86B2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吴洁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EC86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1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浙江中医药大学</w:t>
            </w:r>
          </w:p>
        </w:tc>
      </w:tr>
      <w:bookmarkEnd w:id="1"/>
      <w:tr w14:paraId="758C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B7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bookmarkStart w:id="2" w:name="_Hlk177979398"/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52BF0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26YJRC002ZD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7A615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翻译与文明交流互鉴研究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6948C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屈文生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DE136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404C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外国语学院</w:t>
            </w:r>
          </w:p>
        </w:tc>
      </w:tr>
      <w:tr w14:paraId="2FDD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71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2-1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10098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26YJRC002ZD-1YB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850EB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法律翻译与中国法治话语对外传播研究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96070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练斐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3048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241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64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08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2-2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B45B9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26YJRC002ZD-2YB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D9BB1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翻译与中德文学交流研究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A046F1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刘永强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8C2F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7C4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10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4D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2-3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861FE7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26YJRC002ZD-3YB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E7B1AC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戏剧艺术翻译与中西文明交流互鉴研究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2051A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宣奔昂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094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B8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bookmarkEnd w:id="2"/>
      <w:tr w14:paraId="61FE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A2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AA50AD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26YJRC003ZD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AAFD2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高水平综合大学卓越教师培养国际比较与中国路径研究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EE835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陈时见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EE6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6D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教育学院</w:t>
            </w:r>
          </w:p>
        </w:tc>
      </w:tr>
      <w:tr w14:paraId="7974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10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3-1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6A6EE8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26YJRC003ZD-1YB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5FF98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高水平综合大学卓越教师培养现状的国际比较研究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CBFD5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段世飞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B4D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DB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教育学院</w:t>
            </w:r>
          </w:p>
        </w:tc>
      </w:tr>
      <w:tr w14:paraId="2809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99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3-2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D21FB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26YJRC003ZD-2YB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CB749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高水平综合大学卓越教师培养模式的国际比较研究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D2611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马文婷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A7D6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86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浙江师范大学</w:t>
            </w:r>
          </w:p>
        </w:tc>
      </w:tr>
      <w:tr w14:paraId="2B90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6E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3-3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7D7FAA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26YJRC003ZD-3YB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CD261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高水平综合大学卓越教师培养机制的国际比较研究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2595D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张佳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EFE6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F7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教育学院</w:t>
            </w:r>
          </w:p>
        </w:tc>
      </w:tr>
      <w:tr w14:paraId="4AF9A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DC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CC7562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26YJRC004ZD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AF6957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中欧区域合作的“浙江模式”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1F88C9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沈伟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7D4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重大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AFD6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公共管理学院</w:t>
            </w:r>
          </w:p>
          <w:p w14:paraId="2A4FC2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03E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B1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4-1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3EE935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26YJRC004ZD-1YB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9B0C86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两山理论视角下中欧生态和经济发展的比较研究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3F1D26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邵立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70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4A5A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FD9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8A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4-2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A806DE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26YJRC004ZD-2YB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351289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中欧区域合作：浙江模式（科技领域）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7799F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俞晗之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3D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2A2D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4F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7A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4-3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FCD1F4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26YJRC004ZD-3YB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39922E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地方尺度下中欧城市治理合作的“浙江模式”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57DF96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王晓梦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231D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6505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621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0A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AC22A0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26YJRC005ZD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8FA1F4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中国社会治理现代化：多元群体治理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4618CB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朱健刚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CCBC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7ABB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社会学系</w:t>
            </w:r>
          </w:p>
        </w:tc>
      </w:tr>
      <w:tr w14:paraId="2781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57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DC3DBC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26YJRC005ZD-1YB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640831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青少年心理健康素养动态结构特征与协同建构机制研究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4F3F7E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梁祖荣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68B9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9CE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E3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F7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66B5AE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26YJRC005ZD-2YB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C16A24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残障儿童家庭的隐性照顾成本与社会支持体系优化研究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E74A0A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冷玲莉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C1D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94A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DC6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AA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CEF83A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26YJRC005ZD-3YB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785EFE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汉人民间信仰与数智时代技术文化的亲和性研究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1EDD67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沈阳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CF7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5C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6F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411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70A652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26YJRC006ZD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E047B6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周代越文化的考古学研究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671F01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井中伟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F366E02">
            <w:pPr>
              <w:pStyle w:val="9"/>
              <w:spacing w:before="36" w:line="207" w:lineRule="auto"/>
              <w:ind w:left="118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重大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4C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艺术与考古学院</w:t>
            </w:r>
          </w:p>
        </w:tc>
      </w:tr>
      <w:tr w14:paraId="4131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2D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D62975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26YJRC006ZD-1YB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3EABC3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周代越文化的城邑与聚落布局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CD145D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陈筱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6274CC3">
            <w:pPr>
              <w:pStyle w:val="9"/>
              <w:spacing w:before="157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3A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艺术与考古学院</w:t>
            </w:r>
          </w:p>
        </w:tc>
      </w:tr>
      <w:tr w14:paraId="4FDC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73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8AFDC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26YJRC006ZD-2YB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B1CA4A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周代越文化的墓葬与社会结构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873909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罗鹏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5A5E339">
            <w:pPr>
              <w:pStyle w:val="9"/>
              <w:spacing w:before="190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98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绍兴市文物考古研究所</w:t>
            </w:r>
          </w:p>
        </w:tc>
      </w:tr>
      <w:tr w14:paraId="48A44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8F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75CDAB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26YJRC006ZD-3YB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80C6C2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周代越文化的生业与经济形态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024FE9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安婷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F76B94C">
            <w:pPr>
              <w:pStyle w:val="9"/>
              <w:spacing w:before="156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A5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艺术与考古学院</w:t>
            </w:r>
          </w:p>
        </w:tc>
      </w:tr>
      <w:tr w14:paraId="11C1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9D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17973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26YJRC007ZD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BE2BEB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中国经学的近代转型与中华文化重建、民族复兴研究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D6E757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吴仰湘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DEF97A9">
            <w:pPr>
              <w:pStyle w:val="9"/>
              <w:spacing w:before="192" w:line="220" w:lineRule="auto"/>
              <w:ind w:left="118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重大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A4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历史学院</w:t>
            </w:r>
          </w:p>
        </w:tc>
      </w:tr>
      <w:tr w14:paraId="2C79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2E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7-1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AE4CF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26YJRC007ZD-1YB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E0D838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经史分合与中国自主知识体系演化及生成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F792BD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张凯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E5764D6">
            <w:pPr>
              <w:pStyle w:val="9"/>
              <w:spacing w:before="193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68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历史学院</w:t>
            </w:r>
          </w:p>
        </w:tc>
      </w:tr>
      <w:tr w14:paraId="3141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01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7-2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ED4268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26YJRC007ZD-2YB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1DE50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公羊三世说与近代政体论的演化研究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4BC3A9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邓华莹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CF541B1">
            <w:pPr>
              <w:pStyle w:val="9"/>
              <w:spacing w:before="192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E8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历史学院</w:t>
            </w:r>
          </w:p>
        </w:tc>
      </w:tr>
      <w:tr w14:paraId="537D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FA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7-3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84121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26YJRC007ZD-3YB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A0425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经史传统与近代基层司法实践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8F7786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陈静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05D8C0B4">
            <w:pPr>
              <w:pStyle w:val="9"/>
              <w:spacing w:before="193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C4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浙江警察学院</w:t>
            </w:r>
          </w:p>
        </w:tc>
      </w:tr>
      <w:tr w14:paraId="65A0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3C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7-4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900676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26YJRC007ZD-4YB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1C84A1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20世纪三四十年代北平学界的经史研究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86993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马运娟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75686B8">
            <w:pPr>
              <w:pStyle w:val="9"/>
              <w:spacing w:before="192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00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中国计量大学</w:t>
            </w:r>
          </w:p>
        </w:tc>
      </w:tr>
      <w:tr w14:paraId="3080F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2A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7-5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678A3">
            <w:pPr>
              <w:spacing w:before="234" w:line="188" w:lineRule="auto"/>
              <w:ind w:left="112" w:leftChars="0"/>
              <w:jc w:val="center"/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>26YJRC007ZD-5YB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A4950">
            <w:pPr>
              <w:pStyle w:val="9"/>
              <w:spacing w:before="35" w:line="224" w:lineRule="auto"/>
              <w:ind w:left="124" w:leftChars="0" w:right="102" w:rightChars="0" w:firstLine="3" w:firstLineChars="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</w:rPr>
              <w:t>近代中日学人笔谈中的经学研究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FC4244">
            <w:pPr>
              <w:pStyle w:val="9"/>
              <w:spacing w:before="193"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</w:rPr>
              <w:t>周妍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4B023A8F">
            <w:pPr>
              <w:pStyle w:val="9"/>
              <w:spacing w:before="156" w:line="221" w:lineRule="auto"/>
              <w:ind w:left="120" w:leftChars="0"/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kern w:val="2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A6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历史学院</w:t>
            </w:r>
          </w:p>
        </w:tc>
      </w:tr>
    </w:tbl>
    <w:p w14:paraId="2EC675B1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00785-033A-44C6-89DB-65216CB79A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F591835-F5EC-4BA1-9CD0-753DE2534F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D4938F-6ECE-4901-84B4-9136F5CB5A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60"/>
    <w:rsid w:val="00442A5A"/>
    <w:rsid w:val="005278C4"/>
    <w:rsid w:val="00722C11"/>
    <w:rsid w:val="00B16B60"/>
    <w:rsid w:val="00C55CCF"/>
    <w:rsid w:val="00DC000D"/>
    <w:rsid w:val="612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607</Words>
  <Characters>860</Characters>
  <Lines>7</Lines>
  <Paragraphs>2</Paragraphs>
  <TotalTime>7</TotalTime>
  <ScaleCrop>false</ScaleCrop>
  <LinksUpToDate>false</LinksUpToDate>
  <CharactersWithSpaces>880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2024-09-23T02:17:00Z</dcterms:created>
  <dc:creator>OptiPlex 3080</dc:creator>
  <cp:lastModifiedBy>任珂慧</cp:lastModifiedBy>
  <dcterms:modified xsi:type="dcterms:W3CDTF">2025-09-15T06:28:32Z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eyJoZGlkIjoiYjBmZjEzN2ExMWEyM2ZmNTY0M2YyNGNkMjA4ZjVlZjMiLCJ1c2VySWQiOiIxNjM3NTM2MTc1In0=</vt:lpwstr>
  </property>
  <property fmtid="{D5CDD505-2E9C-101B-9397-08002B2CF9AE}" pid="3" name="KSOProductBuildVer">
    <vt:lpwstr>2052-12.1.0.19770</vt:lpwstr>
  </property>
  <property fmtid="{D5CDD505-2E9C-101B-9397-08002B2CF9AE}" pid="4" name="ICV">
    <vt:lpwstr>FA1C1B9762C4437FA29AF39B52BFE9FA_12</vt:lpwstr>
  </property>
</Properties>
</file>